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351FB1">
        <w:rPr>
          <w:b/>
          <w:bCs/>
        </w:rPr>
        <w:t>за</w:t>
      </w:r>
      <w:bookmarkStart w:id="0" w:name="_GoBack"/>
      <w:bookmarkEnd w:id="0"/>
      <w:r w:rsidR="005E5211" w:rsidRPr="008E5008">
        <w:rPr>
          <w:b/>
          <w:bCs/>
        </w:rPr>
        <w:t>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</w:t>
      </w:r>
      <w:r w:rsidR="00C067A5">
        <w:rPr>
          <w:b/>
        </w:rPr>
        <w:t xml:space="preserve"> услуги </w:t>
      </w:r>
      <w:r w:rsidR="00E83DEC" w:rsidRPr="00E83DEC">
        <w:rPr>
          <w:b/>
        </w:rPr>
        <w:t xml:space="preserve"> </w:t>
      </w:r>
      <w:r w:rsidR="00696A55">
        <w:rPr>
          <w:b/>
        </w:rPr>
        <w:t>«</w:t>
      </w:r>
      <w:r w:rsidR="00C067A5">
        <w:rPr>
          <w:b/>
        </w:rPr>
        <w:t xml:space="preserve">Обслуживание ионных хроматографов </w:t>
      </w:r>
      <w:r w:rsidR="00C067A5">
        <w:rPr>
          <w:b/>
          <w:lang w:val="en-US"/>
        </w:rPr>
        <w:t>ICS</w:t>
      </w:r>
      <w:r w:rsidR="00C067A5">
        <w:rPr>
          <w:b/>
        </w:rPr>
        <w:t xml:space="preserve"> 2100 производства</w:t>
      </w:r>
      <w:r w:rsidR="00C067A5" w:rsidRPr="00C067A5">
        <w:rPr>
          <w:b/>
        </w:rPr>
        <w:t xml:space="preserve"> </w:t>
      </w:r>
      <w:proofErr w:type="spellStart"/>
      <w:r w:rsidR="00C067A5">
        <w:rPr>
          <w:b/>
          <w:lang w:val="en-US"/>
        </w:rPr>
        <w:t>Dionex</w:t>
      </w:r>
      <w:proofErr w:type="spellEnd"/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1" w:name="_Toc251847610"/>
      <w:bookmarkStart w:id="2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3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>АО «НИИМЭ»,124460, г. Москва, г. Зеленоград, Западный 1-й проезд, 12 стр.1</w:t>
      </w:r>
      <w:r w:rsidRPr="00AD3FCC">
        <w:rPr>
          <w:b/>
          <w:sz w:val="24"/>
          <w:szCs w:val="24"/>
        </w:rPr>
        <w:t>.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+7-(495)-229-74-8</w:t>
      </w:r>
      <w:r w:rsidR="005E5211">
        <w:rPr>
          <w:sz w:val="24"/>
          <w:szCs w:val="24"/>
        </w:rPr>
        <w:t>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не позднее </w:t>
      </w:r>
      <w:r w:rsidR="008266A7">
        <w:rPr>
          <w:b/>
          <w:color w:val="FF0000"/>
          <w:sz w:val="24"/>
          <w:szCs w:val="24"/>
          <w:highlight w:val="yellow"/>
          <w:u w:val="single"/>
        </w:rPr>
        <w:t>17</w:t>
      </w:r>
      <w:r w:rsidRPr="00247E91">
        <w:rPr>
          <w:b/>
          <w:color w:val="FF0000"/>
          <w:sz w:val="24"/>
          <w:szCs w:val="24"/>
          <w:highlight w:val="yellow"/>
          <w:u w:val="single"/>
        </w:rPr>
        <w:t xml:space="preserve">:00 часов (местное время) </w:t>
      </w:r>
      <w:bookmarkStart w:id="4" w:name="_Toc55285336"/>
      <w:bookmarkStart w:id="5" w:name="_Toc55305370"/>
      <w:bookmarkStart w:id="6" w:name="_Ref55313246"/>
      <w:bookmarkStart w:id="7" w:name="_Ref56231140"/>
      <w:bookmarkStart w:id="8" w:name="_Ref56231144"/>
      <w:bookmarkStart w:id="9" w:name="_Toc57314617"/>
      <w:bookmarkStart w:id="10" w:name="_Toc69728943"/>
      <w:bookmarkStart w:id="11" w:name="_Toc189545068"/>
      <w:bookmarkStart w:id="12" w:name="_Toc518119237"/>
      <w:r w:rsidR="009933A1">
        <w:rPr>
          <w:b/>
          <w:color w:val="FF0000"/>
          <w:sz w:val="24"/>
          <w:szCs w:val="24"/>
          <w:highlight w:val="yellow"/>
          <w:u w:val="single"/>
        </w:rPr>
        <w:t>28 февраля</w:t>
      </w:r>
      <w:r w:rsidR="00B5623A" w:rsidRPr="00247E91">
        <w:rPr>
          <w:b/>
          <w:color w:val="FF0000"/>
          <w:sz w:val="24"/>
          <w:szCs w:val="24"/>
          <w:highlight w:val="yellow"/>
          <w:u w:val="single"/>
        </w:rPr>
        <w:t xml:space="preserve"> 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3" w:name="_Toc55285339"/>
      <w:bookmarkStart w:id="14" w:name="_Toc55305373"/>
      <w:bookmarkStart w:id="15" w:name="_Toc57314619"/>
      <w:bookmarkStart w:id="16" w:name="_Toc69728944"/>
      <w:bookmarkStart w:id="17" w:name="_Toc66354324"/>
      <w:bookmarkEnd w:id="12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8" w:name="_Toc55285338"/>
      <w:bookmarkStart w:id="19" w:name="_Toc55305372"/>
      <w:bookmarkStart w:id="20" w:name="_Toc57314621"/>
      <w:bookmarkStart w:id="21" w:name="_Toc69728946"/>
      <w:bookmarkStart w:id="22" w:name="_Toc189545070"/>
      <w:bookmarkEnd w:id="13"/>
      <w:bookmarkEnd w:id="14"/>
      <w:bookmarkEnd w:id="15"/>
      <w:bookmarkEnd w:id="16"/>
      <w:bookmarkEnd w:id="17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8"/>
      <w:bookmarkEnd w:id="19"/>
      <w:r w:rsidRPr="00BA08E8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3" w:name="_Ref99767173"/>
      <w:bookmarkStart w:id="24" w:name="_Toc140749454"/>
      <w:bookmarkStart w:id="25" w:name="_Toc189545071"/>
      <w:bookmarkStart w:id="26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7" w:name="_Toc529455226"/>
      <w:bookmarkStart w:id="28" w:name="_Toc531346594"/>
      <w:r w:rsidRPr="008A64AB">
        <w:rPr>
          <w:sz w:val="24"/>
        </w:rPr>
        <w:t>2. Предмет закупки</w:t>
      </w:r>
      <w:bookmarkEnd w:id="23"/>
      <w:bookmarkEnd w:id="24"/>
      <w:bookmarkEnd w:id="25"/>
      <w:bookmarkEnd w:id="26"/>
      <w:bookmarkEnd w:id="27"/>
      <w:bookmarkEnd w:id="28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9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9"/>
    </w:p>
    <w:p w:rsidR="00715A4E" w:rsidRPr="00C067A5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C067A5">
        <w:rPr>
          <w:sz w:val="24"/>
          <w:szCs w:val="24"/>
        </w:rPr>
        <w:t>услуги «</w:t>
      </w:r>
      <w:r w:rsidR="00C067A5" w:rsidRPr="00C067A5">
        <w:rPr>
          <w:b/>
          <w:sz w:val="24"/>
          <w:szCs w:val="24"/>
        </w:rPr>
        <w:t xml:space="preserve">Обслуживание ионных хроматографов </w:t>
      </w:r>
      <w:r w:rsidR="00C067A5" w:rsidRPr="00C067A5">
        <w:rPr>
          <w:b/>
          <w:sz w:val="24"/>
          <w:szCs w:val="24"/>
          <w:lang w:val="en-US"/>
        </w:rPr>
        <w:t>ICS</w:t>
      </w:r>
      <w:r w:rsidR="00C067A5" w:rsidRPr="00C067A5">
        <w:rPr>
          <w:b/>
          <w:sz w:val="24"/>
          <w:szCs w:val="24"/>
        </w:rPr>
        <w:t xml:space="preserve"> 2100 производства </w:t>
      </w:r>
      <w:proofErr w:type="spellStart"/>
      <w:r w:rsidR="00C067A5" w:rsidRPr="00C067A5">
        <w:rPr>
          <w:b/>
          <w:sz w:val="24"/>
          <w:szCs w:val="24"/>
          <w:lang w:val="en-US"/>
        </w:rPr>
        <w:t>Dionex</w:t>
      </w:r>
      <w:proofErr w:type="spellEnd"/>
      <w:r w:rsidR="00C067A5">
        <w:rPr>
          <w:b/>
          <w:sz w:val="24"/>
          <w:szCs w:val="24"/>
        </w:rPr>
        <w:t>»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0" w:name="_Toc531346595"/>
      <w:r w:rsidRPr="008A64AB">
        <w:rPr>
          <w:sz w:val="24"/>
        </w:rPr>
        <w:t>2.1 Требования к закупаемой продукции:</w:t>
      </w:r>
      <w:bookmarkEnd w:id="30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1" w:name="_Toc251847612"/>
      <w:bookmarkStart w:id="32" w:name="_Toc528232074"/>
      <w:bookmarkStart w:id="33" w:name="_Toc529455227"/>
      <w:r w:rsidRPr="008A64AB">
        <w:rPr>
          <w:b/>
          <w:sz w:val="24"/>
        </w:rPr>
        <w:t>Техническая часть</w:t>
      </w:r>
      <w:bookmarkEnd w:id="31"/>
      <w:bookmarkEnd w:id="32"/>
      <w:bookmarkEnd w:id="33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4" w:name="_Toc528232075"/>
      <w:r w:rsidRPr="000473E5">
        <w:rPr>
          <w:sz w:val="24"/>
        </w:rPr>
        <w:t>согласно ТЗ.</w:t>
      </w:r>
      <w:bookmarkStart w:id="35" w:name="_Toc251847613"/>
      <w:bookmarkStart w:id="36" w:name="_Toc528232076"/>
      <w:bookmarkEnd w:id="34"/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5"/>
    <w:bookmarkEnd w:id="36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TableStyle01"/>
        <w:tblW w:w="1016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1843"/>
        <w:gridCol w:w="1417"/>
        <w:gridCol w:w="851"/>
        <w:gridCol w:w="1134"/>
        <w:gridCol w:w="850"/>
        <w:gridCol w:w="947"/>
      </w:tblGrid>
      <w:tr w:rsidR="00097837" w:rsidRPr="00097837" w:rsidTr="000978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Документ устанавливающий требования</w:t>
            </w:r>
            <w:r w:rsidRPr="00097837">
              <w:rPr>
                <w:sz w:val="18"/>
                <w:szCs w:val="18"/>
              </w:rPr>
              <w:br/>
              <w:t>(ГОСТ ,ТУ, ОСТ, спецификация или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Дополнительные требования</w:t>
            </w:r>
            <w:r w:rsidRPr="00097837">
              <w:rPr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Единица</w:t>
            </w:r>
            <w:r w:rsidRPr="00097837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Цена за единицу</w:t>
            </w:r>
            <w:r w:rsidRPr="00097837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18"/>
                <w:szCs w:val="18"/>
              </w:rPr>
            </w:pPr>
            <w:r w:rsidRPr="00097837">
              <w:rPr>
                <w:sz w:val="18"/>
                <w:szCs w:val="18"/>
              </w:rPr>
              <w:t>Сумма</w:t>
            </w:r>
            <w:r w:rsidRPr="00097837">
              <w:rPr>
                <w:sz w:val="18"/>
                <w:szCs w:val="18"/>
              </w:rPr>
              <w:br/>
              <w:t>без НДС</w:t>
            </w:r>
          </w:p>
        </w:tc>
      </w:tr>
      <w:tr w:rsidR="00097837" w:rsidRPr="00097837" w:rsidTr="000978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097837">
              <w:rPr>
                <w:sz w:val="20"/>
                <w:szCs w:val="20"/>
              </w:rPr>
              <w:t>диагоностике</w:t>
            </w:r>
            <w:proofErr w:type="spellEnd"/>
            <w:r w:rsidRPr="00097837">
              <w:rPr>
                <w:sz w:val="20"/>
                <w:szCs w:val="20"/>
              </w:rPr>
              <w:t xml:space="preserve"> и техническому обслуживанию ионных</w:t>
            </w:r>
          </w:p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 xml:space="preserve">хроматографов </w:t>
            </w:r>
            <w:r w:rsidRPr="00097837">
              <w:rPr>
                <w:sz w:val="20"/>
                <w:szCs w:val="20"/>
                <w:lang w:val="en-US"/>
              </w:rPr>
              <w:t>ICS</w:t>
            </w:r>
            <w:r w:rsidRPr="00097837">
              <w:rPr>
                <w:sz w:val="20"/>
                <w:szCs w:val="20"/>
              </w:rPr>
              <w:t xml:space="preserve"> 2100 (3 прибора), 1ый этап - 3 дня работ.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</w:tr>
      <w:tr w:rsidR="00097837" w:rsidRPr="00097837" w:rsidTr="00097837">
        <w:trPr>
          <w:trHeight w:val="6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Набор для профилактического обслуживания для</w:t>
            </w:r>
          </w:p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proofErr w:type="spellStart"/>
            <w:r w:rsidRPr="00097837">
              <w:rPr>
                <w:sz w:val="20"/>
                <w:szCs w:val="20"/>
                <w:lang w:val="en-US"/>
              </w:rPr>
              <w:t>Aquion</w:t>
            </w:r>
            <w:proofErr w:type="spellEnd"/>
            <w:r w:rsidRPr="00097837">
              <w:rPr>
                <w:sz w:val="20"/>
                <w:szCs w:val="20"/>
              </w:rPr>
              <w:t>/</w:t>
            </w:r>
            <w:r w:rsidRPr="00097837">
              <w:rPr>
                <w:sz w:val="20"/>
                <w:szCs w:val="20"/>
                <w:lang w:val="en-US"/>
              </w:rPr>
              <w:t>ICS</w:t>
            </w:r>
            <w:r w:rsidRPr="00097837">
              <w:rPr>
                <w:sz w:val="20"/>
                <w:szCs w:val="20"/>
              </w:rPr>
              <w:t>-900/1000/1100/1500/1600/2000/2100 /</w:t>
            </w:r>
          </w:p>
          <w:p w:rsidR="00097837" w:rsidRPr="00097837" w:rsidRDefault="00097837" w:rsidP="0009783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97837">
              <w:rPr>
                <w:sz w:val="20"/>
                <w:szCs w:val="20"/>
                <w:lang w:val="en-US"/>
              </w:rPr>
              <w:t>Aquion</w:t>
            </w:r>
            <w:proofErr w:type="spellEnd"/>
            <w:r w:rsidRPr="00097837">
              <w:rPr>
                <w:sz w:val="20"/>
                <w:szCs w:val="20"/>
                <w:lang w:val="en-US"/>
              </w:rPr>
              <w:t>/ICS-900/1000/1100/1500/1600/2000/2100 Preventative Maintenance Kit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057954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</w:pPr>
            <w:r w:rsidRPr="00097837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</w:tr>
      <w:tr w:rsidR="00097837" w:rsidRPr="00097837" w:rsidTr="00097837">
        <w:trPr>
          <w:trHeight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 xml:space="preserve">Набор для обслуживания 10-портового крана / </w:t>
            </w:r>
            <w:r w:rsidRPr="00097837">
              <w:rPr>
                <w:sz w:val="20"/>
                <w:szCs w:val="20"/>
                <w:lang w:val="en-US"/>
              </w:rPr>
              <w:t>KIT</w:t>
            </w:r>
            <w:r w:rsidRPr="00097837">
              <w:rPr>
                <w:sz w:val="20"/>
                <w:szCs w:val="20"/>
              </w:rPr>
              <w:t>,</w:t>
            </w:r>
            <w:r w:rsidRPr="00097837">
              <w:rPr>
                <w:sz w:val="20"/>
                <w:szCs w:val="20"/>
                <w:lang w:val="en-US"/>
              </w:rPr>
              <w:t>REBUILD</w:t>
            </w:r>
            <w:r w:rsidRPr="00097837">
              <w:rPr>
                <w:sz w:val="20"/>
                <w:szCs w:val="20"/>
              </w:rPr>
              <w:t>,</w:t>
            </w:r>
            <w:r w:rsidRPr="00097837">
              <w:rPr>
                <w:sz w:val="20"/>
                <w:szCs w:val="20"/>
                <w:lang w:val="en-US"/>
              </w:rPr>
              <w:t>VLV</w:t>
            </w:r>
            <w:r w:rsidRPr="00097837">
              <w:rPr>
                <w:sz w:val="20"/>
                <w:szCs w:val="20"/>
              </w:rPr>
              <w:t>,10</w:t>
            </w:r>
          </w:p>
          <w:p w:rsidR="00097837" w:rsidRPr="00097837" w:rsidRDefault="00097837" w:rsidP="00097837">
            <w:pPr>
              <w:jc w:val="center"/>
              <w:rPr>
                <w:sz w:val="20"/>
                <w:szCs w:val="20"/>
                <w:lang w:val="en-US"/>
              </w:rPr>
            </w:pPr>
            <w:r w:rsidRPr="00097837">
              <w:rPr>
                <w:sz w:val="20"/>
                <w:szCs w:val="20"/>
                <w:lang w:val="en-US"/>
              </w:rPr>
              <w:t>PORT,RHEO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ААА-061759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</w:pPr>
            <w:r w:rsidRPr="00097837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</w:tr>
      <w:tr w:rsidR="00097837" w:rsidRPr="00097837" w:rsidTr="000978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 xml:space="preserve">Услуги по </w:t>
            </w:r>
            <w:proofErr w:type="spellStart"/>
            <w:r w:rsidRPr="00097837">
              <w:rPr>
                <w:sz w:val="20"/>
                <w:szCs w:val="20"/>
              </w:rPr>
              <w:t>диагоностике</w:t>
            </w:r>
            <w:proofErr w:type="spellEnd"/>
            <w:r w:rsidRPr="00097837">
              <w:rPr>
                <w:sz w:val="20"/>
                <w:szCs w:val="20"/>
              </w:rPr>
              <w:t xml:space="preserve"> и техническому обслуживанию ионных</w:t>
            </w:r>
          </w:p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хроматографов ICS 2100 (3 прибора), 2ой этап - 3 дня работ. Запчасти для</w:t>
            </w:r>
          </w:p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2ого этапа услуг предоставляет Заказчик.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97837" w:rsidRPr="00097837" w:rsidRDefault="00097837" w:rsidP="000978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  <w:r w:rsidRPr="0009783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7837" w:rsidRPr="00097837" w:rsidRDefault="00097837" w:rsidP="00097837">
            <w:pPr>
              <w:jc w:val="left"/>
            </w:pPr>
            <w:r w:rsidRPr="00097837">
              <w:rPr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837" w:rsidRPr="00097837" w:rsidRDefault="00097837" w:rsidP="00097837">
            <w:pPr>
              <w:jc w:val="left"/>
              <w:rPr>
                <w:sz w:val="20"/>
                <w:szCs w:val="20"/>
              </w:rPr>
            </w:pPr>
          </w:p>
        </w:tc>
      </w:tr>
    </w:tbl>
    <w:p w:rsidR="00097837" w:rsidRPr="00097837" w:rsidRDefault="00097837" w:rsidP="00097837"/>
    <w:p w:rsidR="00050D5B" w:rsidRPr="009933A1" w:rsidRDefault="00C626D3" w:rsidP="00C626D3">
      <w:pPr>
        <w:pStyle w:val="af6"/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2"/>
          <w:szCs w:val="22"/>
          <w:lang w:eastAsia="en-US"/>
        </w:rPr>
      </w:pPr>
      <w:r w:rsidRPr="009933A1">
        <w:rPr>
          <w:color w:val="FF0000"/>
          <w:sz w:val="22"/>
          <w:szCs w:val="22"/>
        </w:rPr>
        <w:t xml:space="preserve">Услуги по диагностике и техническому обслуживанию ионных хроматографов </w:t>
      </w:r>
      <w:r w:rsidRPr="009933A1">
        <w:rPr>
          <w:color w:val="FF0000"/>
          <w:sz w:val="22"/>
          <w:szCs w:val="22"/>
          <w:lang w:val="en-US"/>
        </w:rPr>
        <w:t>ICS</w:t>
      </w:r>
      <w:r w:rsidRPr="009933A1">
        <w:rPr>
          <w:color w:val="FF0000"/>
          <w:sz w:val="22"/>
          <w:szCs w:val="22"/>
        </w:rPr>
        <w:t xml:space="preserve"> 2100 (3 прибора), 1-й этап – в апреле 2020г., 2-й через полгода после 1-го этапа.</w:t>
      </w:r>
    </w:p>
    <w:p w:rsidR="00C626D3" w:rsidRPr="009933A1" w:rsidRDefault="009933A1" w:rsidP="00C626D3">
      <w:pPr>
        <w:pStyle w:val="af6"/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2"/>
          <w:szCs w:val="22"/>
          <w:lang w:eastAsia="en-US"/>
        </w:rPr>
      </w:pPr>
      <w:proofErr w:type="gramStart"/>
      <w:r>
        <w:rPr>
          <w:color w:val="FF0000"/>
          <w:sz w:val="22"/>
          <w:szCs w:val="22"/>
        </w:rPr>
        <w:t>Гарантия на комплектующие,</w:t>
      </w:r>
      <w:r w:rsidR="00C626D3" w:rsidRPr="009933A1">
        <w:rPr>
          <w:color w:val="FF0000"/>
          <w:sz w:val="22"/>
          <w:szCs w:val="22"/>
        </w:rPr>
        <w:t xml:space="preserve">  в ходе профилактического обслуживания</w:t>
      </w:r>
      <w:r>
        <w:rPr>
          <w:color w:val="FF0000"/>
          <w:sz w:val="22"/>
          <w:szCs w:val="22"/>
        </w:rPr>
        <w:t xml:space="preserve">, </w:t>
      </w:r>
      <w:r w:rsidR="00C626D3" w:rsidRPr="009933A1">
        <w:rPr>
          <w:color w:val="FF0000"/>
          <w:sz w:val="22"/>
          <w:szCs w:val="22"/>
        </w:rPr>
        <w:t xml:space="preserve">  установленные в хроматографы, не менее 90 дней.</w:t>
      </w:r>
      <w:proofErr w:type="gramEnd"/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выполнение работ осуществляется силами и за счет Поставщика; Адрес оказания услуг АО «НИИМЭ»,124460, г. Москва, г. Зеленоград, Западный 1-й проезд, 12 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Оплата в течение 10 дней после поставки.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Аванс не </w:t>
      </w:r>
      <w:r w:rsidRPr="009933A1">
        <w:rPr>
          <w:rFonts w:eastAsia="Calibri"/>
          <w:sz w:val="24"/>
          <w:szCs w:val="24"/>
          <w:lang w:eastAsia="en-US"/>
        </w:rPr>
        <w:t xml:space="preserve">более </w:t>
      </w:r>
      <w:r w:rsidR="00C626D3" w:rsidRPr="009933A1">
        <w:rPr>
          <w:rFonts w:eastAsia="Calibri"/>
          <w:sz w:val="24"/>
          <w:szCs w:val="24"/>
          <w:lang w:eastAsia="en-US"/>
        </w:rPr>
        <w:t>5</w:t>
      </w:r>
      <w:r w:rsidRPr="009933A1">
        <w:rPr>
          <w:rFonts w:eastAsia="Calibri"/>
          <w:sz w:val="24"/>
          <w:szCs w:val="24"/>
          <w:lang w:eastAsia="en-US"/>
        </w:rPr>
        <w:t>0%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lastRenderedPageBreak/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>: 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 осуществлять через банковские счета сторон, открытые  в ПАО «МТС-Банк». Данное требование не является обязательным к исполнению, но будет являться преимуществом при прочих равных.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7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5F1D7A">
        <w:rPr>
          <w:b w:val="0"/>
          <w:bCs w:val="0"/>
          <w:color w:val="FF0000"/>
          <w:sz w:val="24"/>
          <w:szCs w:val="24"/>
        </w:rPr>
        <w:t>200016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1"/>
    <w:bookmarkEnd w:id="2"/>
    <w:bookmarkEnd w:id="3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29" w:rsidRDefault="00D87629" w:rsidP="00B768EC">
      <w:pPr>
        <w:spacing w:line="240" w:lineRule="auto"/>
      </w:pPr>
      <w:r>
        <w:separator/>
      </w:r>
    </w:p>
  </w:endnote>
  <w:endnote w:type="continuationSeparator" w:id="0">
    <w:p w:rsidR="00D87629" w:rsidRDefault="00D87629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F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29" w:rsidRDefault="00D87629" w:rsidP="00B768EC">
      <w:pPr>
        <w:spacing w:line="240" w:lineRule="auto"/>
      </w:pPr>
      <w:r>
        <w:separator/>
      </w:r>
    </w:p>
  </w:footnote>
  <w:footnote w:type="continuationSeparator" w:id="0">
    <w:p w:rsidR="00D87629" w:rsidRDefault="00D87629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2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1FB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933A1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626D3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87629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F950-941E-4781-8DF1-99EF8159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4</cp:revision>
  <cp:lastPrinted>2019-01-24T08:54:00Z</cp:lastPrinted>
  <dcterms:created xsi:type="dcterms:W3CDTF">2020-02-20T12:44:00Z</dcterms:created>
  <dcterms:modified xsi:type="dcterms:W3CDTF">2020-02-20T13:54:00Z</dcterms:modified>
</cp:coreProperties>
</file>