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8E5008">
        <w:rPr>
          <w:b/>
          <w:bCs/>
        </w:rPr>
        <w:t>открытого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002CF1">
        <w:rPr>
          <w:b/>
        </w:rPr>
        <w:t xml:space="preserve">Оригинальных расходных материалов для спектрометрии и оснастки производства </w:t>
      </w:r>
      <w:r w:rsidR="00002CF1">
        <w:rPr>
          <w:b/>
          <w:lang w:val="en-US"/>
        </w:rPr>
        <w:t>Agilent</w:t>
      </w:r>
      <w:r w:rsidR="00002CF1" w:rsidRPr="00002CF1">
        <w:rPr>
          <w:b/>
        </w:rPr>
        <w:t xml:space="preserve"> </w:t>
      </w:r>
      <w:r w:rsidR="00002CF1">
        <w:rPr>
          <w:b/>
          <w:lang w:val="en-US"/>
        </w:rPr>
        <w:t>Technologies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АО «НИИМЭ»,124460, г. Москва, г. Зеленоград, Западный 1-й проезд, 12 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+7-(495)-229-74-8</w:t>
      </w:r>
      <w:r w:rsidR="005E5211">
        <w:rPr>
          <w:sz w:val="24"/>
          <w:szCs w:val="24"/>
        </w:rPr>
        <w:t>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не позднее </w:t>
      </w:r>
      <w:r w:rsidR="008266A7">
        <w:rPr>
          <w:b/>
          <w:color w:val="FF0000"/>
          <w:sz w:val="24"/>
          <w:szCs w:val="24"/>
          <w:highlight w:val="yellow"/>
          <w:u w:val="single"/>
        </w:rPr>
        <w:t>17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E72174">
        <w:rPr>
          <w:b/>
          <w:color w:val="FF0000"/>
          <w:sz w:val="24"/>
          <w:szCs w:val="24"/>
          <w:highlight w:val="yellow"/>
          <w:u w:val="single"/>
        </w:rPr>
        <w:t>28 февраля</w:t>
      </w:r>
      <w:bookmarkStart w:id="12" w:name="_GoBack"/>
      <w:bookmarkEnd w:id="12"/>
      <w:r w:rsidR="00B5623A" w:rsidRPr="00247E91">
        <w:rPr>
          <w:b/>
          <w:color w:val="FF0000"/>
          <w:sz w:val="24"/>
          <w:szCs w:val="24"/>
          <w:highlight w:val="yellow"/>
          <w:u w:val="single"/>
        </w:rPr>
        <w:t xml:space="preserve"> 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3" w:name="_Toc55285339"/>
      <w:bookmarkStart w:id="14" w:name="_Toc55305373"/>
      <w:bookmarkStart w:id="15" w:name="_Toc57314619"/>
      <w:bookmarkStart w:id="16" w:name="_Toc69728944"/>
      <w:bookmarkStart w:id="17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8" w:name="_Toc55285338"/>
      <w:bookmarkStart w:id="19" w:name="_Toc55305372"/>
      <w:bookmarkStart w:id="20" w:name="_Toc57314621"/>
      <w:bookmarkStart w:id="21" w:name="_Toc69728946"/>
      <w:bookmarkStart w:id="22" w:name="_Toc189545070"/>
      <w:bookmarkEnd w:id="13"/>
      <w:bookmarkEnd w:id="14"/>
      <w:bookmarkEnd w:id="15"/>
      <w:bookmarkEnd w:id="16"/>
      <w:bookmarkEnd w:id="17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8"/>
      <w:bookmarkEnd w:id="19"/>
      <w:r w:rsidRPr="00BA08E8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3" w:name="_Ref99767173"/>
      <w:bookmarkStart w:id="24" w:name="_Toc140749454"/>
      <w:bookmarkStart w:id="25" w:name="_Toc189545071"/>
      <w:bookmarkStart w:id="26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7" w:name="_Toc529455226"/>
      <w:bookmarkStart w:id="28" w:name="_Toc531346594"/>
      <w:r w:rsidRPr="008A64AB">
        <w:rPr>
          <w:sz w:val="24"/>
        </w:rPr>
        <w:t>2. Предмет закупки</w:t>
      </w:r>
      <w:bookmarkEnd w:id="23"/>
      <w:bookmarkEnd w:id="24"/>
      <w:bookmarkEnd w:id="25"/>
      <w:bookmarkEnd w:id="26"/>
      <w:bookmarkEnd w:id="27"/>
      <w:bookmarkEnd w:id="28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9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9"/>
    </w:p>
    <w:p w:rsidR="00715A4E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247E91" w:rsidRPr="00247E91">
        <w:rPr>
          <w:b/>
          <w:sz w:val="24"/>
          <w:szCs w:val="24"/>
        </w:rPr>
        <w:t xml:space="preserve">Оригинальных расходных материалов для спектрометрии и оснастки производства </w:t>
      </w:r>
      <w:r w:rsidR="00247E91" w:rsidRPr="00247E91">
        <w:rPr>
          <w:b/>
          <w:sz w:val="24"/>
          <w:szCs w:val="24"/>
          <w:lang w:val="en-US"/>
        </w:rPr>
        <w:t>Agilent</w:t>
      </w:r>
      <w:r w:rsidR="00247E91" w:rsidRPr="00247E91">
        <w:rPr>
          <w:b/>
          <w:sz w:val="24"/>
          <w:szCs w:val="24"/>
        </w:rPr>
        <w:t xml:space="preserve"> </w:t>
      </w:r>
      <w:r w:rsidR="00247E91" w:rsidRPr="00247E91">
        <w:rPr>
          <w:b/>
          <w:sz w:val="24"/>
          <w:szCs w:val="24"/>
          <w:lang w:val="en-US"/>
        </w:rPr>
        <w:t>Technologies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0" w:name="_Toc531346595"/>
      <w:r w:rsidRPr="008A64AB">
        <w:rPr>
          <w:sz w:val="24"/>
        </w:rPr>
        <w:t>2.1 Требования к закупаемой продукции:</w:t>
      </w:r>
      <w:bookmarkEnd w:id="30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1" w:name="_Toc251847612"/>
      <w:bookmarkStart w:id="32" w:name="_Toc528232074"/>
      <w:bookmarkStart w:id="33" w:name="_Toc529455227"/>
      <w:r w:rsidRPr="008A64AB">
        <w:rPr>
          <w:b/>
          <w:sz w:val="24"/>
        </w:rPr>
        <w:t>Техническая часть</w:t>
      </w:r>
      <w:bookmarkEnd w:id="31"/>
      <w:bookmarkEnd w:id="32"/>
      <w:bookmarkEnd w:id="33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4" w:name="_Toc528232075"/>
      <w:r w:rsidRPr="000473E5">
        <w:rPr>
          <w:sz w:val="24"/>
        </w:rPr>
        <w:t>согласно ТЗ.</w:t>
      </w:r>
      <w:bookmarkStart w:id="35" w:name="_Toc251847613"/>
      <w:bookmarkStart w:id="36" w:name="_Toc528232076"/>
      <w:bookmarkEnd w:id="34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5"/>
    <w:bookmarkEnd w:id="36"/>
    <w:p w:rsidR="008E5008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ТЕХНИЧЕСКОЕ ЗАДАНИЕ</w:t>
      </w:r>
    </w:p>
    <w:tbl>
      <w:tblPr>
        <w:tblStyle w:val="TableStyle0"/>
        <w:tblW w:w="101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417"/>
        <w:gridCol w:w="851"/>
        <w:gridCol w:w="1134"/>
        <w:gridCol w:w="850"/>
        <w:gridCol w:w="947"/>
      </w:tblGrid>
      <w:tr w:rsidR="00C77996" w:rsidRPr="009719DD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9719DD" w:rsidRDefault="00F952D4" w:rsidP="00E81FFC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sz w:val="18"/>
                <w:szCs w:val="18"/>
              </w:rPr>
              <w:t>п</w:t>
            </w:r>
            <w:proofErr w:type="gramEnd"/>
            <w:r w:rsidRPr="009719DD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9719DD" w:rsidRDefault="00F952D4" w:rsidP="00E81FFC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9719DD" w:rsidRDefault="00F952D4" w:rsidP="00E81FFC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sz w:val="18"/>
                <w:szCs w:val="18"/>
              </w:rPr>
              <w:br/>
              <w:t>(ГОСТ</w:t>
            </w:r>
            <w:proofErr w:type="gramStart"/>
            <w:r w:rsidRPr="009719DD">
              <w:rPr>
                <w:sz w:val="18"/>
                <w:szCs w:val="18"/>
              </w:rPr>
              <w:t xml:space="preserve"> ,</w:t>
            </w:r>
            <w:proofErr w:type="gramEnd"/>
            <w:r w:rsidRPr="009719DD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9719DD" w:rsidRDefault="00F952D4" w:rsidP="00E81FFC">
            <w:pPr>
              <w:jc w:val="center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Дополнительные требования</w:t>
            </w:r>
            <w:r w:rsidRPr="009719DD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952D4" w:rsidRPr="009719DD" w:rsidRDefault="00F952D4" w:rsidP="00F952D4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952D4" w:rsidRPr="009719DD" w:rsidRDefault="00F952D4" w:rsidP="00F952D4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Единица</w:t>
            </w:r>
            <w:r w:rsidRPr="009719D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952D4" w:rsidRPr="009719DD" w:rsidRDefault="00F952D4" w:rsidP="00F952D4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Цена за единицу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9719DD" w:rsidRDefault="00F952D4" w:rsidP="00F952D4">
            <w:pPr>
              <w:jc w:val="left"/>
              <w:rPr>
                <w:sz w:val="18"/>
                <w:szCs w:val="18"/>
              </w:rPr>
            </w:pPr>
            <w:r w:rsidRPr="009719DD">
              <w:rPr>
                <w:sz w:val="18"/>
                <w:szCs w:val="18"/>
              </w:rPr>
              <w:t>Сумма</w:t>
            </w:r>
            <w:r w:rsidRPr="009719DD">
              <w:rPr>
                <w:sz w:val="18"/>
                <w:szCs w:val="18"/>
              </w:rPr>
              <w:br/>
              <w:t>без НДС</w:t>
            </w: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2D4" w:rsidRPr="002425D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25DA">
              <w:rPr>
                <w:sz w:val="20"/>
                <w:szCs w:val="20"/>
              </w:rPr>
              <w:t>Скиммер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 Platinum (</w:t>
            </w:r>
            <w:proofErr w:type="spellStart"/>
            <w:r w:rsidRPr="002425DA"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) skimmer cone used with s-lens, standard cone with copper (Cu) base with Agilent 7700s and 8800 semiconductor ICP-MS, but also suitable for other 7700/8800 series ICP-MS, use with </w:t>
            </w:r>
            <w:proofErr w:type="spellStart"/>
            <w:r w:rsidRPr="002425DA"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 sampling cone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  <w:lang w:val="en-US"/>
              </w:rPr>
              <w:t>G3280-67064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C955BC">
              <w:rPr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rPr>
          <w:trHeight w:val="664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2D4" w:rsidRPr="002425D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</w:rPr>
              <w:t>Конус</w:t>
            </w:r>
            <w:r w:rsidRPr="002425DA">
              <w:rPr>
                <w:sz w:val="20"/>
                <w:szCs w:val="20"/>
                <w:lang w:val="en-US"/>
              </w:rPr>
              <w:t xml:space="preserve"> Platinum (Pt) sampling cone for Agilent 7700, 7800, 7900, and 8800 series ICP-MS.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  <w:lang w:val="en-US"/>
              </w:rPr>
              <w:t>G3280-67036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C955BC">
              <w:rPr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rPr>
          <w:trHeight w:val="168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2D4" w:rsidRPr="002425D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</w:rPr>
              <w:t>Распылитель</w:t>
            </w:r>
            <w:r w:rsidRPr="002425DA">
              <w:rPr>
                <w:sz w:val="20"/>
                <w:szCs w:val="20"/>
                <w:lang w:val="en-US"/>
              </w:rPr>
              <w:t xml:space="preserve"> Nebulizer, </w:t>
            </w:r>
            <w:proofErr w:type="spellStart"/>
            <w:r w:rsidRPr="002425DA">
              <w:rPr>
                <w:sz w:val="20"/>
                <w:szCs w:val="20"/>
                <w:lang w:val="en-US"/>
              </w:rPr>
              <w:t>MicroFlow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25DA">
              <w:rPr>
                <w:sz w:val="20"/>
                <w:szCs w:val="20"/>
                <w:lang w:val="en-US"/>
              </w:rPr>
              <w:t>perfluoroalkoxy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, 200 µL/min, Agilent 7500/7700 and 8800 series ICP-MS, flow rate ~ 200 µL/min, for use without Agilent integrated </w:t>
            </w:r>
            <w:proofErr w:type="spellStart"/>
            <w:r w:rsidRPr="002425DA">
              <w:rPr>
                <w:sz w:val="20"/>
                <w:szCs w:val="20"/>
                <w:lang w:val="en-US"/>
              </w:rPr>
              <w:t>autosampler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 in analysis of high purity and hydrofluoric acid samples.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  <w:lang w:val="en-US"/>
              </w:rPr>
              <w:t>G3139-65100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C955BC">
              <w:rPr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52D4" w:rsidRPr="002425D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</w:rPr>
              <w:t>Фильтр</w:t>
            </w:r>
            <w:r w:rsidRPr="002425DA">
              <w:rPr>
                <w:sz w:val="20"/>
                <w:szCs w:val="20"/>
                <w:lang w:val="en-US"/>
              </w:rPr>
              <w:t xml:space="preserve"> </w:t>
            </w:r>
            <w:r w:rsidRPr="002425DA">
              <w:rPr>
                <w:sz w:val="20"/>
                <w:szCs w:val="20"/>
              </w:rPr>
              <w:t>масляный</w:t>
            </w:r>
            <w:r w:rsidRPr="002425DA">
              <w:rPr>
                <w:sz w:val="20"/>
                <w:szCs w:val="20"/>
                <w:lang w:val="en-US"/>
              </w:rPr>
              <w:t xml:space="preserve"> Oil mist filter kit for Edward E1M18/E2M28 vacuum pumps.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  <w:lang w:val="en-US"/>
              </w:rPr>
              <w:t>3162-1056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C955BC">
              <w:rPr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52D4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 xml:space="preserve">Платиновая защитная пластинка </w:t>
            </w:r>
            <w:proofErr w:type="spellStart"/>
            <w:r w:rsidRPr="002425DA">
              <w:rPr>
                <w:sz w:val="20"/>
                <w:szCs w:val="20"/>
              </w:rPr>
              <w:t>Pt</w:t>
            </w:r>
            <w:proofErr w:type="spellEnd"/>
            <w:r w:rsidRPr="002425DA">
              <w:rPr>
                <w:sz w:val="20"/>
                <w:szCs w:val="20"/>
              </w:rPr>
              <w:t xml:space="preserve"> </w:t>
            </w:r>
            <w:proofErr w:type="spellStart"/>
            <w:r w:rsidRPr="002425DA">
              <w:rPr>
                <w:sz w:val="20"/>
                <w:szCs w:val="20"/>
              </w:rPr>
              <w:t>shield</w:t>
            </w:r>
            <w:proofErr w:type="spellEnd"/>
            <w:r w:rsidRPr="002425DA">
              <w:rPr>
                <w:sz w:val="20"/>
                <w:szCs w:val="20"/>
              </w:rPr>
              <w:t xml:space="preserve"> </w:t>
            </w:r>
            <w:proofErr w:type="spellStart"/>
            <w:r w:rsidRPr="002425DA">
              <w:rPr>
                <w:sz w:val="20"/>
                <w:szCs w:val="20"/>
              </w:rPr>
              <w:t>plate</w:t>
            </w:r>
            <w:proofErr w:type="spellEnd"/>
            <w:r w:rsidRPr="002425DA">
              <w:rPr>
                <w:sz w:val="20"/>
                <w:szCs w:val="20"/>
              </w:rPr>
              <w:t xml:space="preserve">, </w:t>
            </w:r>
            <w:proofErr w:type="spellStart"/>
            <w:r w:rsidRPr="002425DA">
              <w:rPr>
                <w:sz w:val="20"/>
                <w:szCs w:val="20"/>
              </w:rPr>
              <w:t>long</w:t>
            </w:r>
            <w:proofErr w:type="spellEnd"/>
            <w:r w:rsidRPr="002425DA">
              <w:rPr>
                <w:sz w:val="20"/>
                <w:szCs w:val="20"/>
              </w:rPr>
              <w:t xml:space="preserve"> </w:t>
            </w:r>
            <w:proofErr w:type="spellStart"/>
            <w:r w:rsidRPr="002425DA">
              <w:rPr>
                <w:sz w:val="20"/>
                <w:szCs w:val="20"/>
              </w:rPr>
              <w:t>life</w:t>
            </w:r>
            <w:proofErr w:type="spellEnd"/>
            <w:r w:rsidRPr="002425DA">
              <w:rPr>
                <w:sz w:val="20"/>
                <w:szCs w:val="20"/>
              </w:rPr>
              <w:t>, ICP-MS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G1833-65419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C955BC">
              <w:rPr>
                <w:sz w:val="20"/>
                <w:szCs w:val="20"/>
              </w:rPr>
              <w:t>Agilent</w:t>
            </w:r>
            <w:proofErr w:type="spellEnd"/>
            <w:r w:rsidRPr="00C955BC">
              <w:rPr>
                <w:sz w:val="20"/>
                <w:szCs w:val="20"/>
              </w:rPr>
              <w:t xml:space="preserve"> </w:t>
            </w:r>
            <w:proofErr w:type="spellStart"/>
            <w:r w:rsidRPr="00C955B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52D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 xml:space="preserve">Одноэлементная лампа на </w:t>
            </w:r>
            <w:proofErr w:type="spellStart"/>
            <w:r w:rsidRPr="002425DA">
              <w:rPr>
                <w:sz w:val="20"/>
                <w:szCs w:val="20"/>
              </w:rPr>
              <w:t>Si</w:t>
            </w:r>
            <w:proofErr w:type="spellEnd"/>
            <w:r w:rsidRPr="002425DA">
              <w:rPr>
                <w:sz w:val="20"/>
                <w:szCs w:val="20"/>
              </w:rPr>
              <w:t xml:space="preserve">  (SILICON ULTRAA HC LAMP-SI)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5610133400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C955BC">
              <w:rPr>
                <w:sz w:val="20"/>
                <w:szCs w:val="20"/>
              </w:rPr>
              <w:t>Agilent</w:t>
            </w:r>
            <w:proofErr w:type="spellEnd"/>
            <w:r w:rsidRPr="00C955BC">
              <w:rPr>
                <w:sz w:val="20"/>
                <w:szCs w:val="20"/>
              </w:rPr>
              <w:t xml:space="preserve"> </w:t>
            </w:r>
            <w:proofErr w:type="spellStart"/>
            <w:r w:rsidRPr="00C955B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52D4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5DA">
              <w:rPr>
                <w:sz w:val="20"/>
                <w:szCs w:val="20"/>
              </w:rPr>
              <w:t>Масло</w:t>
            </w:r>
            <w:proofErr w:type="gramEnd"/>
            <w:r w:rsidRPr="002425DA">
              <w:rPr>
                <w:sz w:val="20"/>
                <w:szCs w:val="20"/>
              </w:rPr>
              <w:t>AgilentVacuumFluid</w:t>
            </w:r>
            <w:proofErr w:type="spellEnd"/>
            <w:r w:rsidRPr="002425DA">
              <w:rPr>
                <w:sz w:val="20"/>
                <w:szCs w:val="20"/>
              </w:rPr>
              <w:t xml:space="preserve"> 45 </w:t>
            </w:r>
            <w:proofErr w:type="spellStart"/>
            <w:r w:rsidRPr="002425DA">
              <w:rPr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6040-0834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Agilent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 w:rsidRPr="002425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52D4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425DA">
              <w:rPr>
                <w:sz w:val="20"/>
                <w:szCs w:val="20"/>
              </w:rPr>
              <w:t>Мультиэлементный</w:t>
            </w:r>
            <w:proofErr w:type="spellEnd"/>
            <w:r w:rsidRPr="002425DA">
              <w:rPr>
                <w:sz w:val="20"/>
                <w:szCs w:val="20"/>
                <w:lang w:val="en-US"/>
              </w:rPr>
              <w:t xml:space="preserve"> </w:t>
            </w:r>
            <w:r w:rsidRPr="002425DA">
              <w:rPr>
                <w:sz w:val="20"/>
                <w:szCs w:val="20"/>
              </w:rPr>
              <w:t>стандартный</w:t>
            </w:r>
            <w:r w:rsidRPr="002425DA">
              <w:rPr>
                <w:sz w:val="20"/>
                <w:szCs w:val="20"/>
                <w:lang w:val="en-US"/>
              </w:rPr>
              <w:t xml:space="preserve"> </w:t>
            </w:r>
            <w:r w:rsidRPr="002425DA">
              <w:rPr>
                <w:sz w:val="20"/>
                <w:szCs w:val="20"/>
              </w:rPr>
              <w:t>раствор</w:t>
            </w:r>
            <w:r w:rsidRPr="002425DA">
              <w:rPr>
                <w:sz w:val="20"/>
                <w:szCs w:val="20"/>
                <w:lang w:val="en-US"/>
              </w:rPr>
              <w:t xml:space="preserve"> 2, 100 </w:t>
            </w:r>
            <w:r w:rsidRPr="002425DA">
              <w:rPr>
                <w:sz w:val="20"/>
                <w:szCs w:val="20"/>
              </w:rPr>
              <w:t>мл</w:t>
            </w:r>
            <w:r w:rsidRPr="002425DA">
              <w:rPr>
                <w:sz w:val="20"/>
                <w:szCs w:val="20"/>
                <w:lang w:val="en-US"/>
              </w:rPr>
              <w:t xml:space="preserve"> Multi-element calibration standard 2 in dil. nitric acid  VWR for ICP-MS. 29 Elements 10 mg/l: Ag, Al, As, Ba, Be, Bi, Ca, Cd, Co, Cr, Cs, Cu, Fe, Ga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2425DA">
              <w:rPr>
                <w:sz w:val="20"/>
                <w:szCs w:val="20"/>
                <w:lang w:val="en-US"/>
              </w:rPr>
              <w:t>456502V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  <w:lang w:val="en-US"/>
              </w:rPr>
            </w:pPr>
            <w:r w:rsidRPr="0072395C">
              <w:rPr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952D4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Мультиэлементный</w:t>
            </w:r>
            <w:proofErr w:type="spellEnd"/>
            <w:r w:rsidRPr="0072395C">
              <w:rPr>
                <w:sz w:val="20"/>
                <w:szCs w:val="20"/>
              </w:rPr>
              <w:t xml:space="preserve"> стандартный раствор 100 мл, </w:t>
            </w:r>
            <w:proofErr w:type="spellStart"/>
            <w:r w:rsidRPr="0072395C">
              <w:rPr>
                <w:sz w:val="20"/>
                <w:szCs w:val="20"/>
              </w:rPr>
              <w:t>Multi-Element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Calibration</w:t>
            </w:r>
            <w:proofErr w:type="spellEnd"/>
            <w:r w:rsidRPr="0072395C">
              <w:rPr>
                <w:sz w:val="20"/>
                <w:szCs w:val="20"/>
              </w:rPr>
              <w:t xml:space="preserve"> Standard-4. Оригинальный стандартный раствор </w:t>
            </w:r>
            <w:r w:rsidRPr="0072395C">
              <w:rPr>
                <w:sz w:val="20"/>
                <w:szCs w:val="20"/>
              </w:rPr>
              <w:lastRenderedPageBreak/>
              <w:t xml:space="preserve">производства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r w:rsidRPr="0072395C">
              <w:rPr>
                <w:sz w:val="20"/>
                <w:szCs w:val="20"/>
              </w:rPr>
              <w:lastRenderedPageBreak/>
              <w:t>8500-6942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Agilent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B24430" w:rsidRDefault="00F952D4" w:rsidP="00F952D4">
            <w:pPr>
              <w:jc w:val="left"/>
              <w:rPr>
                <w:sz w:val="20"/>
                <w:szCs w:val="20"/>
              </w:rPr>
            </w:pPr>
            <w:r w:rsidRPr="00B5348C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Мультиэлементный</w:t>
            </w:r>
            <w:proofErr w:type="spellEnd"/>
            <w:r w:rsidRPr="0072395C">
              <w:rPr>
                <w:sz w:val="20"/>
                <w:szCs w:val="20"/>
              </w:rPr>
              <w:t xml:space="preserve"> стандартный раствор 100 мл, </w:t>
            </w:r>
            <w:proofErr w:type="spellStart"/>
            <w:r w:rsidRPr="0072395C">
              <w:rPr>
                <w:sz w:val="20"/>
                <w:szCs w:val="20"/>
              </w:rPr>
              <w:t>Multi-Element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Calibration</w:t>
            </w:r>
            <w:proofErr w:type="spellEnd"/>
            <w:r w:rsidRPr="0072395C">
              <w:rPr>
                <w:sz w:val="20"/>
                <w:szCs w:val="20"/>
              </w:rPr>
              <w:t xml:space="preserve"> Standard-3. Оригинальный стандартный раствор производства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r w:rsidRPr="0072395C">
              <w:rPr>
                <w:sz w:val="20"/>
                <w:szCs w:val="20"/>
              </w:rPr>
              <w:t>8500-6948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Agilent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952D4" w:rsidRPr="002425D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r w:rsidRPr="0072395C">
              <w:rPr>
                <w:sz w:val="20"/>
                <w:szCs w:val="20"/>
              </w:rPr>
              <w:t>Настроечный раствор 1 мкг/</w:t>
            </w:r>
            <w:proofErr w:type="gramStart"/>
            <w:r w:rsidRPr="0072395C">
              <w:rPr>
                <w:sz w:val="20"/>
                <w:szCs w:val="20"/>
              </w:rPr>
              <w:t>л</w:t>
            </w:r>
            <w:proofErr w:type="gramEnd"/>
            <w:r w:rsidRPr="0072395C">
              <w:rPr>
                <w:sz w:val="20"/>
                <w:szCs w:val="20"/>
              </w:rPr>
              <w:t xml:space="preserve">, 2х500 мл, ICP-MS </w:t>
            </w:r>
            <w:proofErr w:type="spellStart"/>
            <w:r w:rsidRPr="0072395C">
              <w:rPr>
                <w:sz w:val="20"/>
                <w:szCs w:val="20"/>
              </w:rPr>
              <w:t>Tuning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Sol</w:t>
            </w:r>
            <w:proofErr w:type="spellEnd"/>
            <w:r w:rsidRPr="0072395C">
              <w:rPr>
                <w:sz w:val="20"/>
                <w:szCs w:val="20"/>
              </w:rPr>
              <w:t xml:space="preserve"> 1ug/L 2x500mL. Оригинальный стандартный раствор производства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r w:rsidRPr="0072395C">
              <w:rPr>
                <w:sz w:val="20"/>
                <w:szCs w:val="20"/>
              </w:rPr>
              <w:t>5185-5959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Agilent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Default="00F952D4" w:rsidP="00F952D4">
            <w:pPr>
              <w:jc w:val="left"/>
            </w:pPr>
            <w:r w:rsidRPr="00B24430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  <w:tr w:rsidR="00C77996" w:rsidRPr="002425DA" w:rsidTr="007E3FA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7E3FAC" w:rsidP="00E8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r w:rsidRPr="0072395C">
              <w:rPr>
                <w:sz w:val="20"/>
                <w:szCs w:val="20"/>
              </w:rPr>
              <w:t>Настроечный раствор 10 мкг/</w:t>
            </w:r>
            <w:proofErr w:type="gramStart"/>
            <w:r w:rsidRPr="0072395C">
              <w:rPr>
                <w:sz w:val="20"/>
                <w:szCs w:val="20"/>
              </w:rPr>
              <w:t>л</w:t>
            </w:r>
            <w:proofErr w:type="gramEnd"/>
            <w:r w:rsidRPr="0072395C">
              <w:rPr>
                <w:sz w:val="20"/>
                <w:szCs w:val="20"/>
              </w:rPr>
              <w:t xml:space="preserve">, 2х500 мл, ICP-MS </w:t>
            </w:r>
            <w:proofErr w:type="spellStart"/>
            <w:r w:rsidRPr="0072395C">
              <w:rPr>
                <w:sz w:val="20"/>
                <w:szCs w:val="20"/>
              </w:rPr>
              <w:t>Tuning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Sol</w:t>
            </w:r>
            <w:proofErr w:type="spellEnd"/>
            <w:r w:rsidRPr="0072395C">
              <w:rPr>
                <w:sz w:val="20"/>
                <w:szCs w:val="20"/>
              </w:rPr>
              <w:t xml:space="preserve"> 10 </w:t>
            </w:r>
            <w:proofErr w:type="spellStart"/>
            <w:r w:rsidRPr="0072395C">
              <w:rPr>
                <w:sz w:val="20"/>
                <w:szCs w:val="20"/>
              </w:rPr>
              <w:t>ug</w:t>
            </w:r>
            <w:proofErr w:type="spellEnd"/>
            <w:r w:rsidRPr="0072395C">
              <w:rPr>
                <w:sz w:val="20"/>
                <w:szCs w:val="20"/>
              </w:rPr>
              <w:t xml:space="preserve">/L 2x 500mL. Оригинальный стандартный раствор производства 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72395C" w:rsidRDefault="00F952D4" w:rsidP="00E81FFC">
            <w:pPr>
              <w:jc w:val="center"/>
              <w:rPr>
                <w:sz w:val="20"/>
                <w:szCs w:val="20"/>
              </w:rPr>
            </w:pPr>
            <w:r w:rsidRPr="0072395C">
              <w:rPr>
                <w:sz w:val="20"/>
                <w:szCs w:val="20"/>
              </w:rPr>
              <w:t>5184-3566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E81FFC">
            <w:pPr>
              <w:jc w:val="center"/>
              <w:rPr>
                <w:sz w:val="20"/>
                <w:szCs w:val="20"/>
              </w:rPr>
            </w:pPr>
            <w:proofErr w:type="spellStart"/>
            <w:r w:rsidRPr="0072395C">
              <w:rPr>
                <w:sz w:val="20"/>
                <w:szCs w:val="20"/>
              </w:rPr>
              <w:t>Agilent</w:t>
            </w:r>
            <w:proofErr w:type="spellEnd"/>
            <w:r w:rsidRPr="0072395C">
              <w:rPr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B24430" w:rsidRDefault="00F952D4" w:rsidP="00F952D4">
            <w:pPr>
              <w:jc w:val="left"/>
              <w:rPr>
                <w:sz w:val="20"/>
                <w:szCs w:val="20"/>
              </w:rPr>
            </w:pPr>
            <w:r w:rsidRPr="00B5348C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52D4" w:rsidRPr="002425DA" w:rsidRDefault="00F952D4" w:rsidP="00F952D4">
            <w:pPr>
              <w:jc w:val="left"/>
              <w:rPr>
                <w:sz w:val="20"/>
                <w:szCs w:val="20"/>
              </w:rPr>
            </w:pPr>
          </w:p>
        </w:tc>
      </w:tr>
    </w:tbl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D36824" w:rsidRPr="00D36824" w:rsidRDefault="00D36824" w:rsidP="00D36824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color w:val="FF0000"/>
          <w:sz w:val="24"/>
          <w:szCs w:val="24"/>
        </w:rPr>
      </w:pPr>
      <w:r w:rsidRPr="00D36824">
        <w:rPr>
          <w:rFonts w:ascii="Times New Roman" w:hAnsi="Times New Roman"/>
          <w:b w:val="0"/>
          <w:color w:val="FF0000"/>
          <w:sz w:val="24"/>
          <w:szCs w:val="24"/>
        </w:rPr>
        <w:t>●    Оригинальные материалы</w:t>
      </w:r>
      <w:r w:rsidRPr="00D36824">
        <w:rPr>
          <w:rFonts w:ascii="Times New Roman" w:hAnsi="Times New Roman"/>
          <w:b w:val="0"/>
          <w:noProof/>
          <w:color w:val="FF0000"/>
          <w:sz w:val="24"/>
          <w:szCs w:val="24"/>
        </w:rPr>
        <w:t xml:space="preserve"> (комплектующие и расходные) для </w:t>
      </w:r>
      <w:r w:rsidRPr="00D36824">
        <w:rPr>
          <w:rFonts w:ascii="Times New Roman" w:hAnsi="Times New Roman"/>
          <w:b w:val="0"/>
          <w:color w:val="FF0000"/>
          <w:sz w:val="24"/>
          <w:szCs w:val="24"/>
        </w:rPr>
        <w:t>масс - спектрометра  с индуктивно связанной плазмой ICP-MS 7700</w:t>
      </w:r>
      <w:r w:rsidRPr="00D36824">
        <w:rPr>
          <w:rFonts w:ascii="Times New Roman" w:hAnsi="Times New Roman"/>
          <w:b w:val="0"/>
          <w:color w:val="FF0000"/>
          <w:sz w:val="24"/>
          <w:szCs w:val="24"/>
          <w:lang w:val="en-US"/>
        </w:rPr>
        <w:t>S</w:t>
      </w:r>
      <w:r w:rsidRPr="00D36824">
        <w:rPr>
          <w:rFonts w:ascii="Times New Roman" w:hAnsi="Times New Roman"/>
          <w:b w:val="0"/>
          <w:color w:val="FF0000"/>
          <w:sz w:val="24"/>
          <w:szCs w:val="24"/>
        </w:rPr>
        <w:t xml:space="preserve">, производства </w:t>
      </w:r>
      <w:proofErr w:type="spellStart"/>
      <w:r w:rsidRPr="00D36824">
        <w:rPr>
          <w:rFonts w:ascii="Times New Roman" w:hAnsi="Times New Roman"/>
          <w:b w:val="0"/>
          <w:color w:val="FF0000"/>
          <w:sz w:val="24"/>
          <w:szCs w:val="24"/>
        </w:rPr>
        <w:t>Agilent</w:t>
      </w:r>
      <w:proofErr w:type="spellEnd"/>
      <w:r w:rsidRPr="00D3682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D36824">
        <w:rPr>
          <w:rFonts w:ascii="Times New Roman" w:hAnsi="Times New Roman"/>
          <w:b w:val="0"/>
          <w:color w:val="FF0000"/>
          <w:sz w:val="24"/>
          <w:szCs w:val="24"/>
        </w:rPr>
        <w:t>Technologies</w:t>
      </w:r>
      <w:proofErr w:type="spellEnd"/>
      <w:r w:rsidRPr="00D36824">
        <w:rPr>
          <w:rFonts w:ascii="Times New Roman" w:hAnsi="Times New Roman"/>
          <w:b w:val="0"/>
          <w:color w:val="FF0000"/>
          <w:sz w:val="24"/>
          <w:szCs w:val="24"/>
        </w:rPr>
        <w:t xml:space="preserve"> с указанием каталожных номеров и лота производителя. </w:t>
      </w:r>
    </w:p>
    <w:p w:rsidR="00D36824" w:rsidRPr="00D36824" w:rsidRDefault="00D36824" w:rsidP="00D36824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color w:val="FF0000"/>
          <w:sz w:val="24"/>
          <w:szCs w:val="24"/>
        </w:rPr>
      </w:pPr>
      <w:r w:rsidRPr="00D36824">
        <w:rPr>
          <w:color w:val="FF0000"/>
          <w:sz w:val="24"/>
          <w:szCs w:val="24"/>
        </w:rPr>
        <w:t xml:space="preserve">●    </w:t>
      </w:r>
      <w:r w:rsidRPr="00D36824">
        <w:rPr>
          <w:rFonts w:ascii="Times New Roman" w:hAnsi="Times New Roman"/>
          <w:b w:val="0"/>
          <w:color w:val="FF0000"/>
          <w:sz w:val="24"/>
          <w:szCs w:val="24"/>
        </w:rPr>
        <w:t xml:space="preserve">Производство не ранее </w:t>
      </w:r>
      <w:r>
        <w:rPr>
          <w:rFonts w:ascii="Times New Roman" w:hAnsi="Times New Roman"/>
          <w:b w:val="0"/>
          <w:color w:val="FF0000"/>
          <w:sz w:val="24"/>
          <w:szCs w:val="24"/>
        </w:rPr>
        <w:t>1-го квартала 2020</w:t>
      </w:r>
      <w:r w:rsidRPr="00D36824">
        <w:rPr>
          <w:rFonts w:ascii="Times New Roman" w:hAnsi="Times New Roman"/>
          <w:b w:val="0"/>
          <w:color w:val="FF0000"/>
          <w:sz w:val="24"/>
          <w:szCs w:val="24"/>
        </w:rPr>
        <w:t xml:space="preserve"> г.</w:t>
      </w:r>
    </w:p>
    <w:p w:rsidR="00D36824" w:rsidRPr="00D36824" w:rsidRDefault="00D36824" w:rsidP="00D36824">
      <w:pPr>
        <w:spacing w:after="120" w:line="240" w:lineRule="auto"/>
        <w:ind w:firstLine="0"/>
        <w:rPr>
          <w:color w:val="FF0000"/>
          <w:sz w:val="24"/>
          <w:szCs w:val="24"/>
        </w:rPr>
      </w:pPr>
      <w:r w:rsidRPr="00D36824">
        <w:rPr>
          <w:color w:val="FF0000"/>
          <w:sz w:val="24"/>
          <w:szCs w:val="24"/>
        </w:rPr>
        <w:t>●     Гарантия на материалы: 90 дней с момента установки в оборудование.</w:t>
      </w: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выполнение работ осуществляется силами и за счет Поставщика; Адрес оказания услуг АО «НИИМЭ»,124460, г. Москва, г. Зеленоград, Западный 1-й проезд, 12 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поставки.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Аванс не более 30%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proofErr w:type="gramStart"/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</w:t>
      </w:r>
      <w:r w:rsidR="009A5B13" w:rsidRPr="000473E5">
        <w:rPr>
          <w:sz w:val="24"/>
        </w:rPr>
        <w:lastRenderedPageBreak/>
        <w:t>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</w:t>
      </w:r>
      <w:proofErr w:type="gramEnd"/>
      <w:r w:rsidR="009A5B13" w:rsidRPr="000473E5">
        <w:rPr>
          <w:sz w:val="24"/>
        </w:rPr>
        <w:t xml:space="preserve">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 xml:space="preserve">: </w:t>
      </w:r>
      <w:proofErr w:type="gramStart"/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9A5B13" w:rsidRPr="000473E5">
        <w:rPr>
          <w:sz w:val="24"/>
        </w:rPr>
        <w:t xml:space="preserve"> Договору рекомендуется осуществлять через банковские счета сторон, открытые  в ПАО «МТС-Банк». Данное требование не является </w:t>
      </w:r>
      <w:proofErr w:type="gramStart"/>
      <w:r w:rsidR="009A5B13" w:rsidRPr="000473E5">
        <w:rPr>
          <w:sz w:val="24"/>
        </w:rPr>
        <w:t>обязательным к исполнению</w:t>
      </w:r>
      <w:proofErr w:type="gramEnd"/>
      <w:r w:rsidR="009A5B13" w:rsidRPr="000473E5">
        <w:rPr>
          <w:sz w:val="24"/>
        </w:rPr>
        <w:t>, но будет являться преимуществом при прочих равных.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7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3F41EC">
        <w:rPr>
          <w:b w:val="0"/>
          <w:bCs w:val="0"/>
          <w:color w:val="FF0000"/>
          <w:sz w:val="24"/>
          <w:szCs w:val="24"/>
        </w:rPr>
        <w:t>200015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lastRenderedPageBreak/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CB" w:rsidRDefault="002B7ECB" w:rsidP="00B768EC">
      <w:pPr>
        <w:spacing w:line="240" w:lineRule="auto"/>
      </w:pPr>
      <w:r>
        <w:separator/>
      </w:r>
    </w:p>
  </w:endnote>
  <w:endnote w:type="continuationSeparator" w:id="0">
    <w:p w:rsidR="002B7ECB" w:rsidRDefault="002B7EC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CB" w:rsidRDefault="002B7ECB" w:rsidP="00B768EC">
      <w:pPr>
        <w:spacing w:line="240" w:lineRule="auto"/>
      </w:pPr>
      <w:r>
        <w:separator/>
      </w:r>
    </w:p>
  </w:footnote>
  <w:footnote w:type="continuationSeparator" w:id="0">
    <w:p w:rsidR="002B7ECB" w:rsidRDefault="002B7ECB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2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1350-1165-4E53-A328-ED6872E6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16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84</cp:revision>
  <cp:lastPrinted>2019-01-24T08:54:00Z</cp:lastPrinted>
  <dcterms:created xsi:type="dcterms:W3CDTF">2019-01-18T07:59:00Z</dcterms:created>
  <dcterms:modified xsi:type="dcterms:W3CDTF">2020-02-20T13:48:00Z</dcterms:modified>
</cp:coreProperties>
</file>