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5E5211" w:rsidRPr="008E5008">
        <w:rPr>
          <w:b/>
          <w:bCs/>
        </w:rPr>
        <w:t>открытого</w:t>
      </w:r>
      <w:r w:rsidR="00E61DF3" w:rsidRPr="00E83DEC">
        <w:rPr>
          <w:b/>
          <w:bCs/>
        </w:rPr>
        <w:t xml:space="preserve"> </w:t>
      </w:r>
      <w:r w:rsidR="003F2BD4" w:rsidRPr="00E83DEC">
        <w:rPr>
          <w:b/>
          <w:bCs/>
        </w:rPr>
        <w:t xml:space="preserve">запроса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E83DEC" w:rsidRPr="00E83DEC">
        <w:rPr>
          <w:b/>
        </w:rPr>
        <w:t xml:space="preserve"> закупку</w:t>
      </w:r>
      <w:r w:rsidR="009805C4">
        <w:rPr>
          <w:b/>
        </w:rPr>
        <w:t xml:space="preserve"> </w:t>
      </w:r>
      <w:r w:rsidR="00696A55" w:rsidRPr="00E57628">
        <w:rPr>
          <w:b/>
        </w:rPr>
        <w:t>«</w:t>
      </w:r>
      <w:r w:rsidR="00E57628" w:rsidRPr="00E57628">
        <w:rPr>
          <w:b/>
        </w:rPr>
        <w:t>Микроскоп</w:t>
      </w:r>
      <w:r w:rsidR="00E57628">
        <w:rPr>
          <w:b/>
        </w:rPr>
        <w:t>а</w:t>
      </w:r>
      <w:r w:rsidR="00E57628" w:rsidRPr="00E57628">
        <w:rPr>
          <w:b/>
          <w:bCs/>
        </w:rPr>
        <w:t xml:space="preserve"> Альтами МЕТ 3Т</w:t>
      </w:r>
      <w:r w:rsidR="00696A55" w:rsidRPr="00E57628">
        <w:rPr>
          <w:b/>
          <w:bCs/>
        </w:rPr>
        <w:t>»</w:t>
      </w:r>
      <w:r w:rsidR="00695634" w:rsidRPr="00E57628">
        <w:rPr>
          <w:b/>
          <w:bCs/>
        </w:rPr>
        <w:t>,</w:t>
      </w:r>
      <w:r w:rsidR="00695634" w:rsidRPr="00E83DEC">
        <w:rPr>
          <w:b/>
          <w:bCs/>
        </w:rPr>
        <w:t xml:space="preserve"> 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:rsidR="008A64AB" w:rsidRPr="008A64AB" w:rsidRDefault="008A64AB" w:rsidP="00E57628">
          <w:pPr>
            <w:pStyle w:val="afa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696A55" w:rsidRDefault="00052DF0" w:rsidP="00EE73B1"/>
      </w:sdtContent>
    </w:sdt>
    <w:bookmarkStart w:id="2" w:name="_Toc531346593" w:displacedByCustomXml="prev"/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t>1. Общие положения</w:t>
      </w:r>
    </w:p>
    <w:p w:rsidR="008A64AB" w:rsidRPr="00AD3FCC" w:rsidRDefault="008A64AB" w:rsidP="008A64AB">
      <w:pPr>
        <w:pStyle w:val="af6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proofErr w:type="gramStart"/>
      <w:r w:rsidRPr="00AD3FCC">
        <w:rPr>
          <w:b/>
          <w:sz w:val="24"/>
          <w:szCs w:val="24"/>
        </w:rPr>
        <w:t>Заказчик</w:t>
      </w:r>
      <w:r w:rsidRPr="00AD3FCC">
        <w:rPr>
          <w:sz w:val="24"/>
          <w:szCs w:val="24"/>
        </w:rPr>
        <w:t xml:space="preserve"> - </w:t>
      </w:r>
      <w:r w:rsidRPr="00AD3FCC">
        <w:rPr>
          <w:bCs/>
          <w:sz w:val="24"/>
        </w:rPr>
        <w:t xml:space="preserve">АО «НИИМЭ»,124460, г. Москва, г. Зеленоград, </w:t>
      </w:r>
      <w:r w:rsidR="00E57628">
        <w:rPr>
          <w:bCs/>
          <w:sz w:val="24"/>
        </w:rPr>
        <w:t>ул. Академика Валиева</w:t>
      </w:r>
      <w:r w:rsidRPr="00AD3FCC">
        <w:rPr>
          <w:bCs/>
          <w:sz w:val="24"/>
        </w:rPr>
        <w:t>, 12 стр.1</w:t>
      </w:r>
      <w:r w:rsidRPr="00AD3FCC">
        <w:rPr>
          <w:b/>
          <w:sz w:val="24"/>
          <w:szCs w:val="24"/>
        </w:rPr>
        <w:t>.</w:t>
      </w:r>
      <w:proofErr w:type="gramEnd"/>
    </w:p>
    <w:p w:rsidR="008A64AB" w:rsidRPr="009D0999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>
        <w:rPr>
          <w:sz w:val="24"/>
          <w:szCs w:val="24"/>
        </w:rPr>
        <w:t xml:space="preserve"> - </w:t>
      </w:r>
      <w:r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</w:t>
      </w:r>
      <w:proofErr w:type="spellStart"/>
      <w:r w:rsidR="005E5211">
        <w:rPr>
          <w:sz w:val="24"/>
          <w:szCs w:val="24"/>
        </w:rPr>
        <w:t>тел</w:t>
      </w:r>
      <w:r w:rsidR="002F10E4" w:rsidRPr="002F10E4">
        <w:rPr>
          <w:sz w:val="24"/>
          <w:szCs w:val="24"/>
        </w:rPr>
        <w:t>Моб</w:t>
      </w:r>
      <w:proofErr w:type="spellEnd"/>
      <w:r w:rsidR="002F10E4" w:rsidRPr="002F10E4">
        <w:rPr>
          <w:sz w:val="24"/>
          <w:szCs w:val="24"/>
        </w:rPr>
        <w:t>: +7 (985)</w:t>
      </w:r>
      <w:r w:rsidR="002F10E4">
        <w:rPr>
          <w:sz w:val="24"/>
          <w:szCs w:val="24"/>
        </w:rPr>
        <w:t>-</w:t>
      </w:r>
      <w:r w:rsidR="002F10E4" w:rsidRPr="002F10E4">
        <w:rPr>
          <w:sz w:val="24"/>
          <w:szCs w:val="24"/>
        </w:rPr>
        <w:t>340</w:t>
      </w:r>
      <w:r w:rsidR="002F10E4">
        <w:rPr>
          <w:sz w:val="24"/>
          <w:szCs w:val="24"/>
        </w:rPr>
        <w:t>-</w:t>
      </w:r>
      <w:r w:rsidR="002F10E4" w:rsidRPr="002F10E4">
        <w:rPr>
          <w:sz w:val="24"/>
          <w:szCs w:val="24"/>
        </w:rPr>
        <w:t>03</w:t>
      </w:r>
      <w:r w:rsidR="002F10E4">
        <w:rPr>
          <w:sz w:val="24"/>
          <w:szCs w:val="24"/>
        </w:rPr>
        <w:t>-</w:t>
      </w:r>
      <w:r w:rsidR="002F10E4" w:rsidRPr="002F10E4">
        <w:rPr>
          <w:sz w:val="24"/>
          <w:szCs w:val="24"/>
        </w:rPr>
        <w:t>97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5"/>
            <w:sz w:val="24"/>
            <w:szCs w:val="24"/>
            <w:lang w:val="en-US"/>
          </w:rPr>
          <w:t>ilukashova</w:t>
        </w:r>
        <w:r w:rsidR="005E5211" w:rsidRPr="00D52770">
          <w:rPr>
            <w:rStyle w:val="a5"/>
            <w:sz w:val="24"/>
            <w:szCs w:val="24"/>
          </w:rPr>
          <w:t>@</w:t>
        </w:r>
        <w:r w:rsidR="005E5211" w:rsidRPr="00D52770">
          <w:rPr>
            <w:rStyle w:val="a5"/>
            <w:sz w:val="24"/>
            <w:szCs w:val="24"/>
            <w:lang w:val="en-US"/>
          </w:rPr>
          <w:t>niime</w:t>
        </w:r>
        <w:r w:rsidR="005E5211" w:rsidRPr="00D52770">
          <w:rPr>
            <w:rStyle w:val="a5"/>
            <w:sz w:val="24"/>
            <w:szCs w:val="24"/>
          </w:rPr>
          <w:t>.</w:t>
        </w:r>
        <w:proofErr w:type="spellStart"/>
        <w:r w:rsidR="005E5211" w:rsidRPr="00D5277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</w:t>
      </w:r>
      <w:proofErr w:type="gramStart"/>
      <w:r w:rsidR="005E5211">
        <w:rPr>
          <w:sz w:val="24"/>
          <w:szCs w:val="24"/>
        </w:rPr>
        <w:t>–</w:t>
      </w:r>
      <w:r w:rsidR="00E57628">
        <w:rPr>
          <w:sz w:val="24"/>
          <w:szCs w:val="24"/>
        </w:rPr>
        <w:t>С</w:t>
      </w:r>
      <w:proofErr w:type="gramEnd"/>
      <w:r w:rsidR="00E57628">
        <w:rPr>
          <w:sz w:val="24"/>
          <w:szCs w:val="24"/>
        </w:rPr>
        <w:t xml:space="preserve">пиридонов Алексей Валентинович, </w:t>
      </w:r>
      <w:r w:rsidR="002A02FB">
        <w:rPr>
          <w:sz w:val="24"/>
          <w:szCs w:val="24"/>
        </w:rPr>
        <w:t xml:space="preserve">тел. </w:t>
      </w:r>
      <w:r w:rsidR="00E57628">
        <w:rPr>
          <w:sz w:val="24"/>
          <w:szCs w:val="24"/>
        </w:rPr>
        <w:t>+7</w:t>
      </w:r>
      <w:r w:rsidR="00E57628" w:rsidRPr="00E57628">
        <w:rPr>
          <w:sz w:val="24"/>
          <w:szCs w:val="24"/>
        </w:rPr>
        <w:t xml:space="preserve">-910-426-8580 </w:t>
      </w:r>
      <w:proofErr w:type="spellStart"/>
      <w:r w:rsidR="00E57628" w:rsidRPr="00E57628">
        <w:rPr>
          <w:sz w:val="24"/>
          <w:szCs w:val="24"/>
        </w:rPr>
        <w:t>aspiridonov</w:t>
      </w:r>
      <w:proofErr w:type="spellEnd"/>
      <w:r w:rsidR="009805C4" w:rsidRPr="009805C4">
        <w:rPr>
          <w:sz w:val="24"/>
          <w:szCs w:val="24"/>
        </w:rPr>
        <w:t xml:space="preserve"> </w:t>
      </w:r>
      <w:hyperlink r:id="rId10" w:history="1">
        <w:r w:rsidR="005E5211" w:rsidRPr="00EB3DB6">
          <w:rPr>
            <w:rStyle w:val="a5"/>
            <w:sz w:val="24"/>
            <w:szCs w:val="24"/>
          </w:rPr>
          <w:t>@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niime</w:t>
        </w:r>
        <w:proofErr w:type="spellEnd"/>
        <w:r w:rsidR="005E5211" w:rsidRPr="00EB3DB6">
          <w:rPr>
            <w:rStyle w:val="a5"/>
            <w:sz w:val="24"/>
            <w:szCs w:val="24"/>
          </w:rPr>
          <w:t>.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 w:rsidR="00D505F8">
        <w:t xml:space="preserve"> 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247E91">
        <w:rPr>
          <w:b/>
          <w:color w:val="FF0000"/>
          <w:sz w:val="24"/>
          <w:szCs w:val="24"/>
          <w:highlight w:val="yellow"/>
          <w:u w:val="single"/>
        </w:rPr>
        <w:t xml:space="preserve">не позднее </w:t>
      </w:r>
      <w:r w:rsidR="008266A7">
        <w:rPr>
          <w:b/>
          <w:color w:val="FF0000"/>
          <w:sz w:val="24"/>
          <w:szCs w:val="24"/>
          <w:highlight w:val="yellow"/>
          <w:u w:val="single"/>
        </w:rPr>
        <w:t>17</w:t>
      </w:r>
      <w:r w:rsidRPr="00247E91">
        <w:rPr>
          <w:b/>
          <w:color w:val="FF0000"/>
          <w:sz w:val="24"/>
          <w:szCs w:val="24"/>
          <w:highlight w:val="yellow"/>
          <w:u w:val="single"/>
        </w:rPr>
        <w:t>:00 часов (местное время)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4606A5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8C3487">
        <w:rPr>
          <w:b/>
          <w:color w:val="FF0000"/>
          <w:sz w:val="24"/>
          <w:szCs w:val="24"/>
          <w:highlight w:val="yellow"/>
          <w:u w:val="single"/>
        </w:rPr>
        <w:t>02 июня</w:t>
      </w:r>
      <w:r w:rsidR="004606A5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B5623A" w:rsidRPr="00247E91">
        <w:rPr>
          <w:b/>
          <w:color w:val="FF0000"/>
          <w:sz w:val="24"/>
          <w:szCs w:val="24"/>
          <w:highlight w:val="yellow"/>
          <w:u w:val="single"/>
        </w:rPr>
        <w:t xml:space="preserve"> 2020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</w:t>
      </w:r>
      <w:proofErr w:type="gramStart"/>
      <w:r w:rsidRPr="00BA08E8">
        <w:rPr>
          <w:sz w:val="24"/>
          <w:szCs w:val="24"/>
        </w:rPr>
        <w:t>является публичным конкурсом и не регулируется</w:t>
      </w:r>
      <w:proofErr w:type="gramEnd"/>
      <w:r w:rsidRPr="00BA08E8">
        <w:rPr>
          <w:sz w:val="24"/>
          <w:szCs w:val="24"/>
        </w:rPr>
        <w:t xml:space="preserve">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 xml:space="preserve">Предложение Участника </w:t>
      </w:r>
      <w:proofErr w:type="gramStart"/>
      <w:r w:rsidRPr="00C8500A">
        <w:rPr>
          <w:sz w:val="24"/>
          <w:szCs w:val="24"/>
        </w:rPr>
        <w:t>имеет правовой статус оферты и</w:t>
      </w:r>
      <w:proofErr w:type="gramEnd"/>
      <w:r w:rsidRPr="00C8500A">
        <w:rPr>
          <w:sz w:val="24"/>
          <w:szCs w:val="24"/>
        </w:rPr>
        <w:t xml:space="preserve">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 xml:space="preserve">1.5.1. Участники самостоятельно несут все расходы, связанные с подготовкой и подачей Предложения, а Организатор по этим расходам не </w:t>
      </w:r>
      <w:proofErr w:type="gramStart"/>
      <w:r w:rsidRPr="005F20CA">
        <w:rPr>
          <w:sz w:val="24"/>
          <w:szCs w:val="24"/>
        </w:rPr>
        <w:t>отвечает и не имеет</w:t>
      </w:r>
      <w:proofErr w:type="gramEnd"/>
      <w:r w:rsidRPr="005F20CA">
        <w:rPr>
          <w:sz w:val="24"/>
          <w:szCs w:val="24"/>
        </w:rPr>
        <w:t xml:space="preserve">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:rsidR="008C3487" w:rsidRPr="008C3487" w:rsidRDefault="008C3487" w:rsidP="008C3487">
      <w:pPr>
        <w:pStyle w:val="-3"/>
      </w:pPr>
    </w:p>
    <w:p w:rsidR="002A02FB" w:rsidRDefault="008A64AB" w:rsidP="002A02F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:rsidR="008C3487" w:rsidRPr="00111AD0" w:rsidRDefault="008C3487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5E1CA7" w:rsidRPr="008C3487" w:rsidRDefault="0052200B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закупка</w:t>
      </w:r>
      <w:r w:rsidRPr="00CE0905">
        <w:rPr>
          <w:sz w:val="24"/>
          <w:szCs w:val="24"/>
        </w:rPr>
        <w:t xml:space="preserve"> </w:t>
      </w:r>
      <w:r w:rsidR="0019706B" w:rsidRPr="0019706B">
        <w:rPr>
          <w:b/>
          <w:sz w:val="24"/>
          <w:szCs w:val="24"/>
        </w:rPr>
        <w:t>Микроскопа</w:t>
      </w:r>
      <w:r w:rsidR="0019706B" w:rsidRPr="0019706B">
        <w:rPr>
          <w:b/>
          <w:bCs/>
          <w:sz w:val="24"/>
          <w:szCs w:val="24"/>
        </w:rPr>
        <w:t xml:space="preserve"> Альтами МЕТ 3Т</w:t>
      </w:r>
      <w:r w:rsidR="00D505F8" w:rsidRPr="00D505F8">
        <w:rPr>
          <w:sz w:val="24"/>
          <w:szCs w:val="24"/>
        </w:rPr>
        <w:t xml:space="preserve">в </w:t>
      </w:r>
      <w:proofErr w:type="gramStart"/>
      <w:r w:rsidR="00D505F8" w:rsidRPr="00D505F8">
        <w:rPr>
          <w:sz w:val="24"/>
          <w:szCs w:val="24"/>
        </w:rPr>
        <w:t>соответствии</w:t>
      </w:r>
      <w:proofErr w:type="gramEnd"/>
      <w:r w:rsidR="00D505F8" w:rsidRPr="00D505F8">
        <w:rPr>
          <w:sz w:val="24"/>
          <w:szCs w:val="24"/>
        </w:rPr>
        <w:t xml:space="preserve"> с техническим заданием</w:t>
      </w:r>
      <w:r w:rsidR="00EE73B1" w:rsidRPr="00EE73B1">
        <w:rPr>
          <w:b/>
          <w:color w:val="FF0000"/>
          <w:sz w:val="32"/>
          <w:szCs w:val="32"/>
        </w:rPr>
        <w:t xml:space="preserve"> </w:t>
      </w:r>
    </w:p>
    <w:p w:rsidR="005E1CA7" w:rsidRDefault="005E1CA7" w:rsidP="00111AD0">
      <w:pPr>
        <w:tabs>
          <w:tab w:val="num" w:pos="0"/>
        </w:tabs>
        <w:spacing w:line="240" w:lineRule="auto"/>
        <w:ind w:firstLine="0"/>
        <w:rPr>
          <w:b/>
          <w:color w:val="FF0000"/>
          <w:sz w:val="32"/>
          <w:szCs w:val="32"/>
        </w:rPr>
      </w:pPr>
    </w:p>
    <w:p w:rsidR="005E1CA7" w:rsidRDefault="005E1CA7" w:rsidP="00111AD0">
      <w:pPr>
        <w:tabs>
          <w:tab w:val="num" w:pos="0"/>
        </w:tabs>
        <w:spacing w:line="240" w:lineRule="auto"/>
        <w:ind w:firstLine="0"/>
        <w:rPr>
          <w:b/>
          <w:color w:val="FF0000"/>
          <w:sz w:val="32"/>
          <w:szCs w:val="32"/>
        </w:rPr>
      </w:pPr>
    </w:p>
    <w:p w:rsidR="005E1CA7" w:rsidRDefault="005E1CA7" w:rsidP="00111AD0">
      <w:pPr>
        <w:tabs>
          <w:tab w:val="num" w:pos="0"/>
        </w:tabs>
        <w:spacing w:line="240" w:lineRule="auto"/>
        <w:ind w:firstLine="0"/>
        <w:rPr>
          <w:b/>
          <w:color w:val="FF0000"/>
          <w:sz w:val="32"/>
          <w:szCs w:val="32"/>
        </w:rPr>
      </w:pPr>
    </w:p>
    <w:p w:rsidR="005E1CA7" w:rsidRPr="005E1CA7" w:rsidRDefault="005E1CA7" w:rsidP="00111AD0">
      <w:pPr>
        <w:tabs>
          <w:tab w:val="num" w:pos="0"/>
        </w:tabs>
        <w:spacing w:line="240" w:lineRule="auto"/>
        <w:ind w:firstLine="0"/>
        <w:rPr>
          <w:color w:val="FF0000"/>
          <w:sz w:val="32"/>
          <w:szCs w:val="32"/>
        </w:rPr>
      </w:pPr>
    </w:p>
    <w:p w:rsidR="005E1CA7" w:rsidRPr="005E1CA7" w:rsidRDefault="005E1CA7" w:rsidP="005E1CA7">
      <w:pPr>
        <w:spacing w:after="160" w:line="259" w:lineRule="auto"/>
        <w:ind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5E1CA7">
        <w:rPr>
          <w:rFonts w:eastAsia="Calibri"/>
          <w:b/>
          <w:sz w:val="22"/>
          <w:szCs w:val="22"/>
          <w:lang w:eastAsia="en-US"/>
        </w:rPr>
        <w:t xml:space="preserve">Техническое задание </w:t>
      </w:r>
      <w:r w:rsidRPr="005E1CA7">
        <w:rPr>
          <w:rFonts w:eastAsia="Calibri"/>
          <w:b/>
          <w:sz w:val="22"/>
          <w:szCs w:val="22"/>
          <w:lang w:eastAsia="en-US"/>
        </w:rPr>
        <w:br/>
        <w:t>на приобретение микроскопа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525"/>
      </w:tblGrid>
      <w:tr w:rsidR="005E1CA7" w:rsidRPr="005E1CA7" w:rsidTr="00DA3D01">
        <w:trPr>
          <w:trHeight w:val="585"/>
        </w:trPr>
        <w:tc>
          <w:tcPr>
            <w:tcW w:w="2850" w:type="dxa"/>
          </w:tcPr>
          <w:p w:rsidR="005E1CA7" w:rsidRPr="005E1CA7" w:rsidRDefault="005E1CA7" w:rsidP="005E1CA7">
            <w:pPr>
              <w:spacing w:after="160" w:line="259" w:lineRule="auto"/>
              <w:ind w:left="81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b/>
                <w:sz w:val="22"/>
                <w:szCs w:val="22"/>
                <w:lang w:eastAsia="en-US"/>
              </w:rPr>
              <w:t>Задача</w:t>
            </w:r>
          </w:p>
        </w:tc>
        <w:tc>
          <w:tcPr>
            <w:tcW w:w="6525" w:type="dxa"/>
          </w:tcPr>
          <w:p w:rsidR="005E1CA7" w:rsidRPr="005E1CA7" w:rsidRDefault="005E1CA7" w:rsidP="005E1CA7">
            <w:pPr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>Обеспечение контроля качества продукции (контроль внешнего вида) в соответствии с требованиями нормативной документации</w:t>
            </w:r>
          </w:p>
        </w:tc>
      </w:tr>
      <w:tr w:rsidR="005E1CA7" w:rsidRPr="005E1CA7" w:rsidTr="00DA3D01">
        <w:trPr>
          <w:trHeight w:val="585"/>
        </w:trPr>
        <w:tc>
          <w:tcPr>
            <w:tcW w:w="2850" w:type="dxa"/>
          </w:tcPr>
          <w:p w:rsidR="005E1CA7" w:rsidRPr="005E1CA7" w:rsidRDefault="005E1CA7" w:rsidP="005E1CA7">
            <w:pPr>
              <w:spacing w:after="160" w:line="259" w:lineRule="auto"/>
              <w:ind w:left="81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товара:</w:t>
            </w:r>
          </w:p>
        </w:tc>
        <w:tc>
          <w:tcPr>
            <w:tcW w:w="6525" w:type="dxa"/>
          </w:tcPr>
          <w:p w:rsidR="005E1CA7" w:rsidRPr="005E1CA7" w:rsidRDefault="005E1CA7" w:rsidP="005E1CA7">
            <w:pPr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>Микроскоп оптический револьверного типа</w:t>
            </w:r>
          </w:p>
        </w:tc>
      </w:tr>
      <w:tr w:rsidR="005E1CA7" w:rsidRPr="005E1CA7" w:rsidTr="00DA3D01">
        <w:trPr>
          <w:trHeight w:val="585"/>
        </w:trPr>
        <w:tc>
          <w:tcPr>
            <w:tcW w:w="2850" w:type="dxa"/>
          </w:tcPr>
          <w:p w:rsidR="005E1CA7" w:rsidRPr="005E1CA7" w:rsidRDefault="005E1CA7" w:rsidP="005E1CA7">
            <w:pPr>
              <w:spacing w:after="160" w:line="259" w:lineRule="auto"/>
              <w:ind w:left="81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b/>
                <w:sz w:val="22"/>
                <w:szCs w:val="22"/>
                <w:lang w:eastAsia="en-US"/>
              </w:rPr>
              <w:t>Требования к товару</w:t>
            </w:r>
          </w:p>
        </w:tc>
        <w:tc>
          <w:tcPr>
            <w:tcW w:w="6525" w:type="dxa"/>
          </w:tcPr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>Увеличение: 50X; 100Х; 200Х; 400Х; 500Х; 800Х; 1000Х; 1600Х.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>Возможность контрастирования: светлое поле и темное поле, поляризация.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 xml:space="preserve">Наличие </w:t>
            </w:r>
            <w:proofErr w:type="spellStart"/>
            <w:r w:rsidRPr="005E1CA7">
              <w:rPr>
                <w:rFonts w:eastAsia="Calibri"/>
                <w:sz w:val="22"/>
                <w:szCs w:val="22"/>
                <w:lang w:eastAsia="en-US"/>
              </w:rPr>
              <w:t>тринокулярной</w:t>
            </w:r>
            <w:proofErr w:type="spellEnd"/>
            <w:r w:rsidRPr="005E1CA7">
              <w:rPr>
                <w:rFonts w:eastAsia="Calibri"/>
                <w:sz w:val="22"/>
                <w:szCs w:val="22"/>
                <w:lang w:eastAsia="en-US"/>
              </w:rPr>
              <w:t xml:space="preserve"> насадки с наклоном 30</w:t>
            </w:r>
            <w:r w:rsidRPr="005E1CA7">
              <w:rPr>
                <w:rFonts w:eastAsia="Calibri"/>
                <w:sz w:val="22"/>
                <w:szCs w:val="22"/>
                <w:lang w:eastAsia="en-US"/>
              </w:rPr>
              <w:sym w:font="Symbol" w:char="F0B0"/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>Наличие окуляра со шкалой;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1CA7">
              <w:rPr>
                <w:rFonts w:eastAsia="Calibri"/>
                <w:sz w:val="22"/>
                <w:szCs w:val="22"/>
                <w:lang w:eastAsia="en-US"/>
              </w:rPr>
              <w:t>Планахроматические</w:t>
            </w:r>
            <w:proofErr w:type="spellEnd"/>
            <w:r w:rsidRPr="005E1CA7">
              <w:rPr>
                <w:rFonts w:eastAsia="Calibri"/>
                <w:sz w:val="22"/>
                <w:szCs w:val="22"/>
                <w:lang w:eastAsia="en-US"/>
              </w:rPr>
              <w:t xml:space="preserve"> объективы на бесконечность (</w:t>
            </w:r>
            <w:proofErr w:type="spellStart"/>
            <w:r w:rsidRPr="005E1CA7">
              <w:rPr>
                <w:rFonts w:eastAsia="Calibri"/>
                <w:sz w:val="22"/>
                <w:szCs w:val="22"/>
                <w:lang w:eastAsia="en-US"/>
              </w:rPr>
              <w:t>Infinity</w:t>
            </w:r>
            <w:proofErr w:type="spellEnd"/>
            <w:r w:rsidRPr="005E1CA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1CA7">
              <w:rPr>
                <w:rFonts w:eastAsia="Calibri"/>
                <w:sz w:val="22"/>
                <w:szCs w:val="22"/>
                <w:lang w:eastAsia="en-US"/>
              </w:rPr>
              <w:t>Color</w:t>
            </w:r>
            <w:proofErr w:type="spellEnd"/>
            <w:r w:rsidRPr="005E1CA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1CA7">
              <w:rPr>
                <w:rFonts w:eastAsia="Calibri"/>
                <w:sz w:val="22"/>
                <w:szCs w:val="22"/>
                <w:lang w:eastAsia="en-US"/>
              </w:rPr>
              <w:t>Corrected</w:t>
            </w:r>
            <w:proofErr w:type="spellEnd"/>
            <w:r w:rsidRPr="005E1CA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1CA7">
              <w:rPr>
                <w:rFonts w:eastAsia="Calibri"/>
                <w:sz w:val="22"/>
                <w:szCs w:val="22"/>
                <w:lang w:eastAsia="en-US"/>
              </w:rPr>
              <w:t>System</w:t>
            </w:r>
            <w:proofErr w:type="spellEnd"/>
            <w:r w:rsidRPr="005E1CA7">
              <w:rPr>
                <w:rFonts w:eastAsia="Calibri"/>
                <w:sz w:val="22"/>
                <w:szCs w:val="22"/>
                <w:lang w:eastAsia="en-US"/>
              </w:rPr>
              <w:t>):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>- PL L 5X/0.12 ∞/- (рабочее расстояние 9.7 мм);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>- PL L 10X/0.25 ∞/0 (р. р. не менее 9.3 мм);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 xml:space="preserve">- PL L 20X/0.40 ∞/0 (р. р. не менее 7.2 мм); 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>- PL L 50X/0.70 ∞/0 подпружиненный (р. р. не менее 2.5 мм);</w:t>
            </w:r>
            <w:r w:rsidRPr="005E1C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5E1CA7">
              <w:rPr>
                <w:rFonts w:eastAsia="Calibri"/>
                <w:sz w:val="22"/>
                <w:szCs w:val="22"/>
                <w:lang w:eastAsia="en-US"/>
              </w:rPr>
              <w:t>PL L 80X/0.80 ∞/0 подпружиненный (р. р. не менее 0.8 мм).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 xml:space="preserve">Система освещения </w:t>
            </w:r>
            <w:proofErr w:type="spellStart"/>
            <w:r w:rsidRPr="005E1CA7">
              <w:rPr>
                <w:rFonts w:eastAsia="Calibri"/>
                <w:sz w:val="22"/>
                <w:szCs w:val="22"/>
                <w:lang w:eastAsia="en-US"/>
              </w:rPr>
              <w:t>Epi-Kohler</w:t>
            </w:r>
            <w:proofErr w:type="spellEnd"/>
            <w:r w:rsidRPr="005E1CA7">
              <w:rPr>
                <w:rFonts w:eastAsia="Calibri"/>
                <w:sz w:val="22"/>
                <w:szCs w:val="22"/>
                <w:lang w:eastAsia="en-US"/>
              </w:rPr>
              <w:t>, регулируемые апертурная и полевая диафрагмы, плавная регулировка яркости освещения;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 xml:space="preserve">Предметный столик прямоугольный с размером не менее 280х270 мм, </w:t>
            </w:r>
            <w:proofErr w:type="spellStart"/>
            <w:r w:rsidRPr="005E1CA7">
              <w:rPr>
                <w:rFonts w:eastAsia="Calibri"/>
                <w:sz w:val="22"/>
                <w:szCs w:val="22"/>
                <w:lang w:eastAsia="en-US"/>
              </w:rPr>
              <w:t>двухкоординатный</w:t>
            </w:r>
            <w:proofErr w:type="spellEnd"/>
            <w:r w:rsidRPr="005E1CA7">
              <w:rPr>
                <w:rFonts w:eastAsia="Calibri"/>
                <w:sz w:val="22"/>
                <w:szCs w:val="22"/>
                <w:lang w:eastAsia="en-US"/>
              </w:rPr>
              <w:t xml:space="preserve">, с коаксиально расположенными ручками управления перемещением </w:t>
            </w:r>
            <w:proofErr w:type="spellStart"/>
            <w:r w:rsidRPr="005E1CA7">
              <w:rPr>
                <w:rFonts w:eastAsia="Calibri"/>
                <w:sz w:val="22"/>
                <w:szCs w:val="22"/>
                <w:lang w:eastAsia="en-US"/>
              </w:rPr>
              <w:t>стола</w:t>
            </w:r>
            <w:proofErr w:type="gramStart"/>
            <w:r w:rsidRPr="005E1CA7">
              <w:rPr>
                <w:rFonts w:eastAsia="Calibri"/>
                <w:sz w:val="22"/>
                <w:szCs w:val="22"/>
                <w:lang w:eastAsia="en-US"/>
              </w:rPr>
              <w:t>,д</w:t>
            </w:r>
            <w:proofErr w:type="gramEnd"/>
            <w:r w:rsidRPr="005E1CA7">
              <w:rPr>
                <w:rFonts w:eastAsia="Calibri"/>
                <w:sz w:val="22"/>
                <w:szCs w:val="22"/>
                <w:lang w:eastAsia="en-US"/>
              </w:rPr>
              <w:t>иапазон</w:t>
            </w:r>
            <w:proofErr w:type="spellEnd"/>
            <w:r w:rsidRPr="005E1CA7">
              <w:rPr>
                <w:rFonts w:eastAsia="Calibri"/>
                <w:sz w:val="22"/>
                <w:szCs w:val="22"/>
                <w:lang w:eastAsia="en-US"/>
              </w:rPr>
              <w:t xml:space="preserve"> перемещений 204х204 мм;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>Фокусировка: коаксиальные винты грубой и точной фокусировки, регулировка жесткости хода, шаг точной фокусировки не хуже 0.008 мм.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>Максимальная высота исследуемых объектов – не менее 27 мм.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>Наличие в комплекте: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>- цифровая камера;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>- программа для проведения линейных измерений и обработки изображений;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ascii="Tahoma" w:eastAsia="Calibri" w:hAnsi="Tahoma" w:cs="Tahoma"/>
                <w:sz w:val="18"/>
                <w:szCs w:val="18"/>
                <w:shd w:val="clear" w:color="auto" w:fill="F3F6FA"/>
                <w:lang w:eastAsia="en-US"/>
              </w:rPr>
              <w:t xml:space="preserve">- </w:t>
            </w:r>
            <w:r w:rsidRPr="005E1CA7">
              <w:rPr>
                <w:rFonts w:eastAsia="Calibri"/>
                <w:sz w:val="22"/>
                <w:szCs w:val="22"/>
                <w:shd w:val="clear" w:color="auto" w:fill="F3F6FA"/>
                <w:lang w:eastAsia="en-US"/>
              </w:rPr>
              <w:t>объект-микрометр со шкалой и калибровочными точками.</w:t>
            </w:r>
          </w:p>
          <w:p w:rsidR="005E1CA7" w:rsidRPr="005E1CA7" w:rsidRDefault="005E1CA7" w:rsidP="005E1CA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E1CA7" w:rsidRPr="005E1CA7" w:rsidTr="00DA3D01">
        <w:trPr>
          <w:trHeight w:val="585"/>
        </w:trPr>
        <w:tc>
          <w:tcPr>
            <w:tcW w:w="2850" w:type="dxa"/>
          </w:tcPr>
          <w:p w:rsidR="005E1CA7" w:rsidRPr="005E1CA7" w:rsidRDefault="005E1CA7" w:rsidP="005E1CA7">
            <w:pPr>
              <w:spacing w:after="160" w:line="259" w:lineRule="auto"/>
              <w:ind w:left="81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b/>
                <w:sz w:val="22"/>
                <w:szCs w:val="22"/>
                <w:lang w:eastAsia="en-US"/>
              </w:rPr>
              <w:t>Требования к поставщику товара:</w:t>
            </w:r>
          </w:p>
        </w:tc>
        <w:tc>
          <w:tcPr>
            <w:tcW w:w="6525" w:type="dxa"/>
          </w:tcPr>
          <w:p w:rsidR="005E1CA7" w:rsidRPr="005E1CA7" w:rsidRDefault="005E1CA7" w:rsidP="005E1CA7">
            <w:pPr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>Наличие опыта работы с и настройки товара.</w:t>
            </w:r>
          </w:p>
        </w:tc>
      </w:tr>
      <w:tr w:rsidR="005E1CA7" w:rsidRPr="005E1CA7" w:rsidTr="00DA3D01">
        <w:trPr>
          <w:trHeight w:val="585"/>
        </w:trPr>
        <w:tc>
          <w:tcPr>
            <w:tcW w:w="2850" w:type="dxa"/>
          </w:tcPr>
          <w:p w:rsidR="005E1CA7" w:rsidRPr="005E1CA7" w:rsidRDefault="005E1CA7" w:rsidP="005E1CA7">
            <w:pPr>
              <w:spacing w:after="160" w:line="259" w:lineRule="auto"/>
              <w:ind w:left="81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b/>
                <w:sz w:val="22"/>
                <w:szCs w:val="22"/>
                <w:lang w:eastAsia="en-US"/>
              </w:rPr>
              <w:t>Сроки поставки товара</w:t>
            </w:r>
          </w:p>
        </w:tc>
        <w:tc>
          <w:tcPr>
            <w:tcW w:w="6525" w:type="dxa"/>
          </w:tcPr>
          <w:p w:rsidR="005E1CA7" w:rsidRPr="005E1CA7" w:rsidRDefault="005E1CA7" w:rsidP="005E1CA7">
            <w:pPr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>до 30.06.2020г.</w:t>
            </w:r>
          </w:p>
        </w:tc>
      </w:tr>
      <w:tr w:rsidR="005E1CA7" w:rsidRPr="005E1CA7" w:rsidTr="00DA3D01">
        <w:trPr>
          <w:trHeight w:val="585"/>
        </w:trPr>
        <w:tc>
          <w:tcPr>
            <w:tcW w:w="2850" w:type="dxa"/>
          </w:tcPr>
          <w:p w:rsidR="005E1CA7" w:rsidRPr="005E1CA7" w:rsidRDefault="005E1CA7" w:rsidP="005E1CA7">
            <w:pPr>
              <w:spacing w:after="160" w:line="259" w:lineRule="auto"/>
              <w:ind w:left="81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b/>
                <w:sz w:val="22"/>
                <w:szCs w:val="22"/>
                <w:lang w:eastAsia="en-US"/>
              </w:rPr>
              <w:t>Количество товара</w:t>
            </w:r>
          </w:p>
        </w:tc>
        <w:tc>
          <w:tcPr>
            <w:tcW w:w="6525" w:type="dxa"/>
          </w:tcPr>
          <w:p w:rsidR="005E1CA7" w:rsidRPr="005E1CA7" w:rsidRDefault="005E1CA7" w:rsidP="005E1CA7">
            <w:pPr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sz w:val="22"/>
                <w:szCs w:val="22"/>
                <w:lang w:eastAsia="en-US"/>
              </w:rPr>
              <w:t>1 единица</w:t>
            </w:r>
          </w:p>
        </w:tc>
      </w:tr>
      <w:tr w:rsidR="005E1CA7" w:rsidRPr="005E1CA7" w:rsidTr="00DA3D01">
        <w:trPr>
          <w:trHeight w:val="585"/>
        </w:trPr>
        <w:tc>
          <w:tcPr>
            <w:tcW w:w="2850" w:type="dxa"/>
          </w:tcPr>
          <w:p w:rsidR="005E1CA7" w:rsidRPr="005E1CA7" w:rsidRDefault="005E1CA7" w:rsidP="005E1CA7">
            <w:pPr>
              <w:spacing w:after="160" w:line="259" w:lineRule="auto"/>
              <w:ind w:left="81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b/>
                <w:sz w:val="22"/>
                <w:szCs w:val="22"/>
                <w:lang w:eastAsia="en-US"/>
              </w:rPr>
              <w:t>ФИО и должности сотрудников (экспертов), которые должны быть включены в состав рабочей группы для анализа и оценки предложений</w:t>
            </w:r>
          </w:p>
        </w:tc>
        <w:tc>
          <w:tcPr>
            <w:tcW w:w="6525" w:type="dxa"/>
          </w:tcPr>
          <w:p w:rsidR="005E1CA7" w:rsidRPr="005E1CA7" w:rsidRDefault="005E1CA7" w:rsidP="005E1CA7">
            <w:pPr>
              <w:spacing w:after="160" w:line="259" w:lineRule="auto"/>
              <w:ind w:left="140"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b/>
                <w:sz w:val="22"/>
                <w:szCs w:val="22"/>
                <w:lang w:eastAsia="en-US"/>
              </w:rPr>
              <w:t>Лукянчиков Максим Владимирович</w:t>
            </w:r>
            <w:r w:rsidRPr="005E1CA7">
              <w:rPr>
                <w:rFonts w:eastAsia="Calibri"/>
                <w:sz w:val="22"/>
                <w:szCs w:val="22"/>
                <w:lang w:eastAsia="en-US"/>
              </w:rPr>
              <w:t xml:space="preserve"> – заместитель начальника ОТП-начальник лаборатории</w:t>
            </w:r>
          </w:p>
          <w:p w:rsidR="005E1CA7" w:rsidRPr="005E1CA7" w:rsidRDefault="005E1CA7" w:rsidP="005E1CA7">
            <w:pPr>
              <w:spacing w:after="160" w:line="259" w:lineRule="auto"/>
              <w:ind w:left="140"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E1CA7">
              <w:rPr>
                <w:rFonts w:eastAsia="Calibri"/>
                <w:b/>
                <w:sz w:val="22"/>
                <w:szCs w:val="22"/>
                <w:lang w:eastAsia="en-US"/>
              </w:rPr>
              <w:t>Бреева Ирина Николаевна</w:t>
            </w:r>
            <w:r w:rsidRPr="005E1CA7">
              <w:rPr>
                <w:rFonts w:eastAsia="Calibri"/>
                <w:sz w:val="22"/>
                <w:szCs w:val="22"/>
                <w:lang w:eastAsia="en-US"/>
              </w:rPr>
              <w:t xml:space="preserve"> – главный специалист.</w:t>
            </w:r>
          </w:p>
        </w:tc>
      </w:tr>
    </w:tbl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C3487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lastRenderedPageBreak/>
        <w:t xml:space="preserve">2.1 Требования к </w:t>
      </w:r>
      <w:proofErr w:type="gramStart"/>
      <w:r w:rsidRPr="008A64AB">
        <w:rPr>
          <w:sz w:val="24"/>
        </w:rPr>
        <w:t>закупаемой</w:t>
      </w:r>
      <w:proofErr w:type="gramEnd"/>
      <w:r w:rsidRPr="008A64AB">
        <w:rPr>
          <w:sz w:val="24"/>
        </w:rPr>
        <w:t xml:space="preserve"> продукции:</w:t>
      </w:r>
      <w:bookmarkEnd w:id="29"/>
    </w:p>
    <w:p w:rsidR="008A64AB" w:rsidRPr="008A64AB" w:rsidRDefault="008C3487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>
        <w:rPr>
          <w:b/>
          <w:sz w:val="24"/>
        </w:rPr>
        <w:t xml:space="preserve">          </w:t>
      </w:r>
      <w:r w:rsidR="008A64AB"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="008A64AB" w:rsidRPr="008A64AB">
        <w:rPr>
          <w:b/>
          <w:sz w:val="24"/>
        </w:rPr>
        <w:t>:</w:t>
      </w:r>
    </w:p>
    <w:p w:rsidR="00050D5B" w:rsidRPr="00EE73B1" w:rsidRDefault="008A64AB" w:rsidP="008C3487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426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End w:id="33"/>
    </w:p>
    <w:p w:rsidR="00050D5B" w:rsidRPr="008E5008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«НИИМЭ»,124460, г. Москва, г. Зеленоград, </w:t>
      </w:r>
      <w:r w:rsidR="0019706B">
        <w:rPr>
          <w:rFonts w:eastAsia="Calibri"/>
          <w:sz w:val="24"/>
          <w:szCs w:val="24"/>
          <w:lang w:eastAsia="en-US"/>
        </w:rPr>
        <w:t>ул. Академика Валиева</w:t>
      </w:r>
      <w:r w:rsidRPr="00DB67B0">
        <w:rPr>
          <w:rFonts w:eastAsia="Calibri"/>
          <w:sz w:val="24"/>
          <w:szCs w:val="24"/>
          <w:lang w:eastAsia="en-US"/>
        </w:rPr>
        <w:t>, 12 стр.1.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DB67B0">
        <w:rPr>
          <w:rFonts w:eastAsia="Calibri"/>
          <w:b/>
          <w:sz w:val="24"/>
          <w:szCs w:val="24"/>
          <w:lang w:eastAsia="en-US"/>
        </w:rPr>
        <w:t xml:space="preserve">Условия оплаты: </w:t>
      </w:r>
    </w:p>
    <w:p w:rsidR="00E27767" w:rsidRPr="008C3487" w:rsidRDefault="00E27767" w:rsidP="008C3487">
      <w:pPr>
        <w:pStyle w:val="af6"/>
        <w:numPr>
          <w:ilvl w:val="0"/>
          <w:numId w:val="30"/>
        </w:numPr>
        <w:spacing w:line="240" w:lineRule="auto"/>
        <w:rPr>
          <w:bCs/>
          <w:kern w:val="28"/>
          <w:sz w:val="24"/>
          <w:szCs w:val="24"/>
        </w:rPr>
      </w:pPr>
      <w:r w:rsidRPr="004A4177">
        <w:rPr>
          <w:bCs/>
          <w:kern w:val="28"/>
          <w:sz w:val="24"/>
          <w:szCs w:val="24"/>
        </w:rPr>
        <w:t xml:space="preserve">Условия оплаты: </w:t>
      </w:r>
      <w:r w:rsidR="008C3487" w:rsidRPr="008C3487">
        <w:rPr>
          <w:bCs/>
          <w:kern w:val="28"/>
          <w:sz w:val="24"/>
          <w:szCs w:val="24"/>
        </w:rPr>
        <w:t>30% аванс и  70% по факту поставки или после уведомления о готовности к отгрузке.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 xml:space="preserve">Коммерческая часть может содержать условия, критичные для данной Закупки. В </w:t>
      </w:r>
      <w:proofErr w:type="gramStart"/>
      <w:r w:rsidR="008A64AB" w:rsidRPr="000473E5">
        <w:rPr>
          <w:sz w:val="24"/>
        </w:rPr>
        <w:t>таком</w:t>
      </w:r>
      <w:proofErr w:type="gramEnd"/>
      <w:r w:rsidR="008A64AB" w:rsidRPr="000473E5">
        <w:rPr>
          <w:sz w:val="24"/>
        </w:rPr>
        <w:t xml:space="preserve">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proofErr w:type="gramStart"/>
      <w:r w:rsidR="009A5B13" w:rsidRPr="000473E5">
        <w:rPr>
          <w:sz w:val="24"/>
        </w:rPr>
        <w:t>Условия расчетов: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="009A5B13" w:rsidRPr="000473E5">
        <w:rPr>
          <w:sz w:val="24"/>
        </w:rPr>
        <w:t xml:space="preserve"> Договору должны осуществляться через банковские счета сторон, открытые  в ПАО «МТС-Банк».</w:t>
      </w:r>
      <w:r w:rsidR="00A616E7">
        <w:rPr>
          <w:sz w:val="24"/>
        </w:rPr>
        <w:t xml:space="preserve"> </w:t>
      </w:r>
      <w:r w:rsidR="00A616E7" w:rsidRPr="000473E5">
        <w:rPr>
          <w:sz w:val="24"/>
        </w:rPr>
        <w:t xml:space="preserve">Данное требование не является </w:t>
      </w:r>
      <w:proofErr w:type="gramStart"/>
      <w:r w:rsidR="00A616E7" w:rsidRPr="000473E5">
        <w:rPr>
          <w:sz w:val="24"/>
        </w:rPr>
        <w:t>обязательным к исполнению</w:t>
      </w:r>
      <w:proofErr w:type="gramEnd"/>
      <w:r w:rsidR="00A616E7" w:rsidRPr="000473E5">
        <w:rPr>
          <w:sz w:val="24"/>
        </w:rPr>
        <w:t>, но будет являться преимуществом при прочих равных.</w:t>
      </w:r>
    </w:p>
    <w:p w:rsidR="009A5B13" w:rsidRPr="000473E5" w:rsidRDefault="001D7DE8" w:rsidP="002322CE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 xml:space="preserve">Участник закупочной процедуры вправе указать в своем предложении иной банк (помимо ПАО «МТС-Банк») для </w:t>
      </w:r>
      <w:r w:rsidR="002322CE">
        <w:rPr>
          <w:sz w:val="24"/>
        </w:rPr>
        <w:t>платежей и расчетов по Договору.</w:t>
      </w:r>
      <w:r w:rsidR="009A5B13" w:rsidRPr="000473E5">
        <w:rPr>
          <w:sz w:val="24"/>
        </w:rPr>
        <w:t xml:space="preserve"> </w:t>
      </w:r>
    </w:p>
    <w:p w:rsidR="008A64AB" w:rsidRPr="000473E5" w:rsidRDefault="00A616E7" w:rsidP="002322CE">
      <w:pPr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</w:t>
      </w:r>
      <w:bookmarkStart w:id="34" w:name="_Ref57581655"/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5" w:name="_Toc529455228"/>
      <w:bookmarkStart w:id="36" w:name="_Toc531346596"/>
      <w:r w:rsidRPr="000473E5">
        <w:rPr>
          <w:sz w:val="24"/>
        </w:rPr>
        <w:t>3. Требование к Участнику и документы, подлежащие обязательному предоставлению</w:t>
      </w:r>
      <w:bookmarkEnd w:id="35"/>
      <w:bookmarkEnd w:id="36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37" w:name="_Toc528232078"/>
      <w:bookmarkStart w:id="38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37"/>
      <w:bookmarkEnd w:id="38"/>
      <w:r w:rsidRPr="000473E5">
        <w:rPr>
          <w:sz w:val="24"/>
        </w:rPr>
        <w:t xml:space="preserve"> 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DD3FE1" w:rsidRPr="003F72CA" w:rsidRDefault="008A64AB" w:rsidP="003F72CA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9" w:name="_Toc209261658"/>
      <w:bookmarkStart w:id="40" w:name="_Toc529455229"/>
      <w:bookmarkStart w:id="41" w:name="_Toc531346597"/>
      <w:bookmarkEnd w:id="34"/>
      <w:r w:rsidRPr="000473E5">
        <w:rPr>
          <w:sz w:val="24"/>
        </w:rPr>
        <w:lastRenderedPageBreak/>
        <w:t>4.Подача Ценовых Предложений и их прием</w:t>
      </w:r>
      <w:bookmarkEnd w:id="39"/>
      <w:bookmarkEnd w:id="40"/>
      <w:bookmarkEnd w:id="41"/>
    </w:p>
    <w:p w:rsidR="006B3B0A" w:rsidRPr="00052DF0" w:rsidRDefault="003C2366" w:rsidP="006B3B0A">
      <w:pPr>
        <w:pStyle w:val="2"/>
        <w:numPr>
          <w:ilvl w:val="0"/>
          <w:numId w:val="0"/>
        </w:numPr>
        <w:jc w:val="both"/>
        <w:rPr>
          <w:bCs w:val="0"/>
          <w:sz w:val="24"/>
          <w:szCs w:val="24"/>
        </w:rPr>
      </w:pPr>
      <w:bookmarkStart w:id="42" w:name="_Ref86827631"/>
      <w:bookmarkStart w:id="43" w:name="_Toc90385072"/>
      <w:bookmarkStart w:id="44" w:name="_Toc98253995"/>
      <w:bookmarkStart w:id="45" w:name="_Toc140817633"/>
      <w:bookmarkStart w:id="46" w:name="_Toc251847616"/>
      <w:bookmarkStart w:id="47" w:name="_Toc528232617"/>
      <w:bookmarkStart w:id="48" w:name="_Toc529455230"/>
      <w:bookmarkStart w:id="49" w:name="_Toc531346599"/>
      <w:bookmarkStart w:id="50" w:name="_Ref55300680"/>
      <w:bookmarkStart w:id="51" w:name="_Toc55305378"/>
      <w:bookmarkStart w:id="52" w:name="_Toc57314640"/>
      <w:bookmarkStart w:id="53" w:name="_Toc69728963"/>
      <w:bookmarkStart w:id="54" w:name="ИНСТРУКЦИИ"/>
      <w:bookmarkStart w:id="55" w:name="_Toc189545074"/>
      <w:r w:rsidRPr="00052DF0">
        <w:rPr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="00BF487F" w:rsidRPr="00052DF0">
          <w:rPr>
            <w:bCs w:val="0"/>
            <w:szCs w:val="28"/>
          </w:rPr>
          <w:t xml:space="preserve"> </w:t>
        </w:r>
        <w:hyperlink r:id="rId12" w:history="1">
          <w:r w:rsidR="006D423F" w:rsidRPr="00052DF0">
            <w:rPr>
              <w:rStyle w:val="a5"/>
              <w:bCs w:val="0"/>
              <w:sz w:val="24"/>
              <w:szCs w:val="24"/>
              <w:lang w:val="en-US"/>
            </w:rPr>
            <w:t>zakupki</w:t>
          </w:r>
          <w:r w:rsidR="006D423F" w:rsidRPr="00052DF0">
            <w:rPr>
              <w:rStyle w:val="a5"/>
              <w:bCs w:val="0"/>
              <w:sz w:val="24"/>
              <w:szCs w:val="24"/>
            </w:rPr>
            <w:t>@</w:t>
          </w:r>
          <w:r w:rsidR="006D423F" w:rsidRPr="00052DF0">
            <w:rPr>
              <w:rStyle w:val="a5"/>
              <w:bCs w:val="0"/>
              <w:sz w:val="24"/>
              <w:szCs w:val="24"/>
              <w:lang w:val="en-US"/>
            </w:rPr>
            <w:t>niime</w:t>
          </w:r>
          <w:r w:rsidR="006D423F" w:rsidRPr="00052DF0">
            <w:rPr>
              <w:rStyle w:val="a5"/>
              <w:bCs w:val="0"/>
              <w:sz w:val="24"/>
              <w:szCs w:val="24"/>
            </w:rPr>
            <w:t>.</w:t>
          </w:r>
          <w:r w:rsidR="006D423F" w:rsidRPr="00052DF0">
            <w:rPr>
              <w:rStyle w:val="a5"/>
              <w:bCs w:val="0"/>
              <w:sz w:val="24"/>
              <w:szCs w:val="24"/>
              <w:lang w:val="en-US"/>
            </w:rPr>
            <w:t>ru</w:t>
          </w:r>
        </w:hyperlink>
        <w:r w:rsidR="007F5D84" w:rsidRPr="00052DF0">
          <w:rPr>
            <w:rStyle w:val="a5"/>
            <w:color w:val="FF0000"/>
            <w:sz w:val="24"/>
            <w:szCs w:val="24"/>
          </w:rPr>
          <w:t>.</w:t>
        </w:r>
      </w:hyperlink>
      <w:r w:rsidR="0088516C" w:rsidRPr="00052DF0">
        <w:rPr>
          <w:bCs w:val="0"/>
          <w:color w:val="FF0000"/>
          <w:sz w:val="24"/>
          <w:szCs w:val="24"/>
        </w:rPr>
        <w:t xml:space="preserve"> </w:t>
      </w:r>
      <w:r w:rsidR="002322CE" w:rsidRPr="00052DF0">
        <w:rPr>
          <w:bCs w:val="0"/>
          <w:color w:val="FF0000"/>
          <w:sz w:val="24"/>
          <w:szCs w:val="24"/>
        </w:rPr>
        <w:t>С целью идентификации закупки, в</w:t>
      </w:r>
      <w:r w:rsidR="00B95ADF" w:rsidRPr="00052DF0">
        <w:rPr>
          <w:bCs w:val="0"/>
          <w:color w:val="FF0000"/>
          <w:sz w:val="24"/>
          <w:szCs w:val="24"/>
        </w:rPr>
        <w:t xml:space="preserve"> теме письма</w:t>
      </w:r>
      <w:r w:rsidR="002322CE" w:rsidRPr="00052DF0">
        <w:rPr>
          <w:bCs w:val="0"/>
          <w:color w:val="FF0000"/>
          <w:sz w:val="24"/>
          <w:szCs w:val="24"/>
        </w:rPr>
        <w:t>,</w:t>
      </w:r>
      <w:r w:rsidR="00B95ADF" w:rsidRPr="00052DF0">
        <w:rPr>
          <w:bCs w:val="0"/>
          <w:color w:val="FF0000"/>
          <w:sz w:val="24"/>
          <w:szCs w:val="24"/>
        </w:rPr>
        <w:t xml:space="preserve"> Участник обязан указать следующую инф</w:t>
      </w:r>
      <w:r w:rsidR="00B23440" w:rsidRPr="00052DF0">
        <w:rPr>
          <w:bCs w:val="0"/>
          <w:color w:val="FF0000"/>
          <w:sz w:val="24"/>
          <w:szCs w:val="24"/>
        </w:rPr>
        <w:t>ормацию: номер процедуры «</w:t>
      </w:r>
      <w:r w:rsidR="005F1D7A" w:rsidRPr="00052DF0">
        <w:rPr>
          <w:bCs w:val="0"/>
          <w:color w:val="FF0000"/>
          <w:sz w:val="24"/>
          <w:szCs w:val="24"/>
        </w:rPr>
        <w:t>2000</w:t>
      </w:r>
      <w:r w:rsidR="008C3487" w:rsidRPr="00052DF0">
        <w:rPr>
          <w:bCs w:val="0"/>
          <w:color w:val="FF0000"/>
          <w:sz w:val="24"/>
          <w:szCs w:val="24"/>
        </w:rPr>
        <w:t>27</w:t>
      </w:r>
      <w:r w:rsidR="00B95ADF" w:rsidRPr="00052DF0">
        <w:rPr>
          <w:bCs w:val="0"/>
          <w:color w:val="FF0000"/>
          <w:sz w:val="24"/>
          <w:szCs w:val="24"/>
        </w:rPr>
        <w:t>»</w:t>
      </w:r>
      <w:r w:rsidRPr="00052DF0">
        <w:rPr>
          <w:bCs w:val="0"/>
          <w:color w:val="FF0000"/>
          <w:sz w:val="24"/>
          <w:szCs w:val="24"/>
        </w:rPr>
        <w:t xml:space="preserve"> 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 xml:space="preserve">Участник должен </w:t>
      </w:r>
      <w:proofErr w:type="gramStart"/>
      <w:r w:rsidRPr="0078736E">
        <w:rPr>
          <w:sz w:val="24"/>
        </w:rPr>
        <w:t>предоставить следующие документы</w:t>
      </w:r>
      <w:proofErr w:type="gramEnd"/>
      <w:r w:rsidRPr="0078736E">
        <w:rPr>
          <w:sz w:val="24"/>
        </w:rPr>
        <w:t>:</w:t>
      </w:r>
      <w:bookmarkStart w:id="56" w:name="_GoBack"/>
      <w:bookmarkEnd w:id="56"/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DC747E" w:rsidRPr="000473E5" w:rsidRDefault="00DC747E" w:rsidP="00DC747E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BA08E8" w:rsidRDefault="008A64AB" w:rsidP="008A64AB">
      <w:pPr>
        <w:spacing w:line="240" w:lineRule="auto"/>
        <w:ind w:firstLine="0"/>
      </w:pP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7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58" w:name="_Toc57314653"/>
      <w:bookmarkStart w:id="59" w:name="_Toc98253991"/>
      <w:bookmarkStart w:id="60" w:name="_Toc140817629"/>
      <w:bookmarkStart w:id="61" w:name="_Toc335827366"/>
      <w:bookmarkStart w:id="62" w:name="_Toc528232618"/>
      <w:bookmarkStart w:id="63" w:name="_Toc531346600"/>
      <w:bookmarkEnd w:id="57"/>
      <w:r w:rsidRPr="000473E5">
        <w:rPr>
          <w:sz w:val="24"/>
        </w:rPr>
        <w:t xml:space="preserve">5.1 Разъяснение </w:t>
      </w:r>
      <w:bookmarkEnd w:id="58"/>
      <w:r w:rsidRPr="000473E5">
        <w:rPr>
          <w:sz w:val="24"/>
        </w:rPr>
        <w:t>закупочной Документации</w:t>
      </w:r>
      <w:bookmarkEnd w:id="59"/>
      <w:bookmarkEnd w:id="60"/>
      <w:bookmarkEnd w:id="61"/>
      <w:bookmarkEnd w:id="62"/>
      <w:bookmarkEnd w:id="63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</w:t>
      </w:r>
      <w:r w:rsidRPr="00BA08E8">
        <w:rPr>
          <w:sz w:val="24"/>
          <w:szCs w:val="24"/>
        </w:rPr>
        <w:lastRenderedPageBreak/>
        <w:t>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4" w:name="_Toc447561379"/>
      <w:bookmarkStart w:id="65" w:name="_Toc528232619"/>
      <w:bookmarkStart w:id="66" w:name="_Toc529455231"/>
      <w:bookmarkEnd w:id="50"/>
      <w:bookmarkEnd w:id="51"/>
      <w:bookmarkEnd w:id="52"/>
      <w:bookmarkEnd w:id="53"/>
      <w:bookmarkEnd w:id="54"/>
      <w:bookmarkEnd w:id="55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7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68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7"/>
      <w:bookmarkEnd w:id="68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69" w:name="_Ref93089454"/>
      <w:bookmarkStart w:id="70" w:name="_Toc98254001"/>
      <w:bookmarkStart w:id="71" w:name="_Toc251847626"/>
      <w:bookmarkStart w:id="72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69"/>
      <w:bookmarkEnd w:id="70"/>
      <w:bookmarkEnd w:id="71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</w:t>
      </w:r>
      <w:bookmarkEnd w:id="72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3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4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3"/>
      <w:bookmarkEnd w:id="74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5" w:name="_Ref93089457"/>
      <w:bookmarkStart w:id="76" w:name="_Toc98254004"/>
      <w:bookmarkStart w:id="77" w:name="_Toc251847627"/>
      <w:bookmarkStart w:id="78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5"/>
      <w:bookmarkEnd w:id="76"/>
      <w:bookmarkEnd w:id="77"/>
    </w:p>
    <w:bookmarkEnd w:id="78"/>
    <w:p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В </w:t>
      </w:r>
      <w:proofErr w:type="gramStart"/>
      <w:r w:rsidRPr="00E61DF3">
        <w:rPr>
          <w:sz w:val="24"/>
          <w:szCs w:val="24"/>
        </w:rPr>
        <w:t>рамках</w:t>
      </w:r>
      <w:proofErr w:type="gramEnd"/>
      <w:r w:rsidRPr="00E61DF3">
        <w:rPr>
          <w:sz w:val="24"/>
          <w:szCs w:val="24"/>
        </w:rPr>
        <w:t xml:space="preserve">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79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79"/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0" w:name="_Ref93697814"/>
      <w:bookmarkStart w:id="81" w:name="_Toc98254003"/>
      <w:bookmarkStart w:id="82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0"/>
      <w:bookmarkEnd w:id="81"/>
      <w:bookmarkEnd w:id="82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3" w:name="_Ref55280474"/>
      <w:bookmarkStart w:id="84" w:name="_Toc55285356"/>
      <w:bookmarkStart w:id="85" w:name="_Toc55305388"/>
      <w:bookmarkStart w:id="86" w:name="_Toc57314659"/>
      <w:bookmarkStart w:id="87" w:name="_Toc69728973"/>
      <w:bookmarkStart w:id="88" w:name="_Toc189545082"/>
      <w:bookmarkStart w:id="89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0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0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 xml:space="preserve">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1" w:name="_Toc531346601"/>
      <w:r w:rsidRPr="000473E5">
        <w:rPr>
          <w:sz w:val="24"/>
        </w:rPr>
        <w:lastRenderedPageBreak/>
        <w:t>6.Письмо о подаче оферты (Форма №1)</w:t>
      </w:r>
      <w:bookmarkEnd w:id="91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2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3" w:name="_Toc531346603"/>
      <w:r w:rsidRPr="00BD7B1A">
        <w:rPr>
          <w:bCs/>
          <w:sz w:val="22"/>
          <w:szCs w:val="22"/>
        </w:rPr>
        <w:t>№_______________________</w:t>
      </w:r>
      <w:bookmarkEnd w:id="9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4" w:name="_Toc531346604"/>
      <w:r w:rsidRPr="00BD7B1A">
        <w:rPr>
          <w:bCs/>
          <w:sz w:val="22"/>
          <w:szCs w:val="22"/>
        </w:rPr>
        <w:t>Уважаемые господа!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8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11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101"/>
      <w:proofErr w:type="gramEnd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3"/>
      <w:r w:rsidRPr="00BD7B1A">
        <w:rPr>
          <w:bCs/>
          <w:sz w:val="22"/>
          <w:szCs w:val="22"/>
        </w:rPr>
        <w:t xml:space="preserve">(краткое описание </w:t>
      </w:r>
      <w:proofErr w:type="gramStart"/>
      <w:r w:rsidRPr="00BD7B1A">
        <w:rPr>
          <w:bCs/>
          <w:sz w:val="22"/>
          <w:szCs w:val="22"/>
        </w:rPr>
        <w:t>поставляемой</w:t>
      </w:r>
      <w:proofErr w:type="gramEnd"/>
      <w:r w:rsidRPr="00BD7B1A">
        <w:rPr>
          <w:bCs/>
          <w:sz w:val="22"/>
          <w:szCs w:val="22"/>
        </w:rPr>
        <w:t xml:space="preserve"> продукции, выполняемых работ, оказываемых ус луг)</w:t>
      </w:r>
      <w:bookmarkEnd w:id="10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6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0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20"/>
      <w:r w:rsidRPr="00BD7B1A">
        <w:rPr>
          <w:bCs/>
          <w:sz w:val="22"/>
          <w:szCs w:val="22"/>
        </w:rPr>
        <w:t xml:space="preserve">Настоящее Предложение </w:t>
      </w:r>
      <w:proofErr w:type="gramStart"/>
      <w:r w:rsidRPr="00BD7B1A">
        <w:rPr>
          <w:bCs/>
          <w:sz w:val="22"/>
          <w:szCs w:val="22"/>
        </w:rPr>
        <w:t>имеет правовой статус оферты и действует</w:t>
      </w:r>
      <w:bookmarkEnd w:id="110"/>
      <w:proofErr w:type="gramEnd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7"/>
      <w:r w:rsidRPr="00BD7B1A">
        <w:rPr>
          <w:bCs/>
          <w:sz w:val="22"/>
          <w:szCs w:val="22"/>
        </w:rPr>
        <w:t>____________________________________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8"/>
      <w:r w:rsidRPr="00BD7B1A">
        <w:rPr>
          <w:bCs/>
          <w:sz w:val="22"/>
          <w:szCs w:val="22"/>
        </w:rPr>
        <w:t>(подпись, М.П.)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9"/>
      <w:r w:rsidRPr="00BD7B1A">
        <w:rPr>
          <w:bCs/>
          <w:sz w:val="22"/>
          <w:szCs w:val="22"/>
        </w:rPr>
        <w:t>____________________________________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30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31"/>
      <w:r w:rsidRPr="00BD7B1A">
        <w:rPr>
          <w:bCs/>
          <w:sz w:val="22"/>
          <w:szCs w:val="22"/>
        </w:rPr>
        <w:t>конец формы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2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3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6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7"/>
      <w:r w:rsidRPr="00BD7B1A">
        <w:rPr>
          <w:bCs/>
          <w:sz w:val="22"/>
          <w:szCs w:val="22"/>
        </w:rPr>
        <w:t>в рублях, с НДС.</w:t>
      </w:r>
      <w:bookmarkEnd w:id="127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28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9"/>
      <w:r w:rsidRPr="00BD7B1A">
        <w:rPr>
          <w:bCs/>
          <w:sz w:val="22"/>
          <w:szCs w:val="22"/>
        </w:rPr>
        <w:t xml:space="preserve">6. Письмо должно быть </w:t>
      </w:r>
      <w:proofErr w:type="gramStart"/>
      <w:r w:rsidRPr="00BD7B1A">
        <w:rPr>
          <w:bCs/>
          <w:sz w:val="22"/>
          <w:szCs w:val="22"/>
        </w:rPr>
        <w:t>подписано и скреплено</w:t>
      </w:r>
      <w:proofErr w:type="gramEnd"/>
      <w:r w:rsidRPr="00BD7B1A">
        <w:rPr>
          <w:bCs/>
          <w:sz w:val="22"/>
          <w:szCs w:val="22"/>
        </w:rPr>
        <w:t xml:space="preserve"> печатью в соответствии с требованиями закупочной документации.</w:t>
      </w:r>
      <w:bookmarkEnd w:id="12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0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4"/>
      <w:bookmarkEnd w:id="65"/>
      <w:bookmarkEnd w:id="66"/>
      <w:bookmarkEnd w:id="130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1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28232620"/>
      <w:bookmarkStart w:id="133" w:name="_Toc529455232"/>
      <w:bookmarkStart w:id="134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 xml:space="preserve">№ </w:t>
            </w:r>
            <w:proofErr w:type="gramStart"/>
            <w:r w:rsidRPr="000A21D9">
              <w:rPr>
                <w:sz w:val="22"/>
                <w:szCs w:val="22"/>
              </w:rPr>
              <w:t>п</w:t>
            </w:r>
            <w:proofErr w:type="gramEnd"/>
            <w:r w:rsidRPr="000A21D9"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proofErr w:type="gramStart"/>
      <w:r w:rsidRPr="002160C0">
        <w:rPr>
          <w:sz w:val="24"/>
          <w:szCs w:val="24"/>
        </w:rPr>
        <w:t>и</w:t>
      </w:r>
      <w:proofErr w:type="gramEnd"/>
      <w:r w:rsidRPr="002160C0">
        <w:rPr>
          <w:sz w:val="24"/>
          <w:szCs w:val="24"/>
        </w:rPr>
        <w:t xml:space="preserve">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5" w:name="_Toc98254035"/>
      <w:r w:rsidRPr="00C275FE">
        <w:rPr>
          <w:b/>
          <w:sz w:val="22"/>
          <w:szCs w:val="22"/>
        </w:rPr>
        <w:t>Инструкции по заполнению</w:t>
      </w:r>
      <w:bookmarkEnd w:id="135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C275FE">
        <w:rPr>
          <w:sz w:val="22"/>
          <w:szCs w:val="22"/>
        </w:rPr>
        <w:t>т.ч</w:t>
      </w:r>
      <w:proofErr w:type="spellEnd"/>
      <w:r w:rsidRPr="00C275FE">
        <w:rPr>
          <w:sz w:val="22"/>
          <w:szCs w:val="22"/>
        </w:rPr>
        <w:t>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3. Участники должны заполнить приведенную выше таблицу по всем позициям. В </w:t>
      </w:r>
      <w:proofErr w:type="gramStart"/>
      <w:r w:rsidRPr="00C275FE">
        <w:rPr>
          <w:sz w:val="22"/>
          <w:szCs w:val="22"/>
        </w:rPr>
        <w:t>случае</w:t>
      </w:r>
      <w:proofErr w:type="gramEnd"/>
      <w:r w:rsidRPr="00C275FE">
        <w:rPr>
          <w:sz w:val="22"/>
          <w:szCs w:val="22"/>
        </w:rPr>
        <w:t xml:space="preserve">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131"/>
    <w:bookmarkEnd w:id="132"/>
    <w:bookmarkEnd w:id="133"/>
    <w:bookmarkEnd w:id="134"/>
    <w:bookmarkEnd w:id="2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proofErr w:type="gramStart"/>
      <w:r w:rsidRPr="005D4C17">
        <w:rPr>
          <w:sz w:val="24"/>
          <w:szCs w:val="24"/>
        </w:rPr>
        <w:t>проживающий</w:t>
      </w:r>
      <w:proofErr w:type="gramEnd"/>
      <w:r w:rsidRPr="005D4C17">
        <w:rPr>
          <w:sz w:val="24"/>
          <w:szCs w:val="24"/>
        </w:rPr>
        <w:t xml:space="preserve">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5D4C17">
        <w:rPr>
          <w:sz w:val="24"/>
          <w:szCs w:val="24"/>
        </w:rPr>
        <w:t>представляет / в которой работает</w:t>
      </w:r>
      <w:proofErr w:type="gramEnd"/>
      <w:r w:rsidRPr="005D4C17">
        <w:rPr>
          <w:sz w:val="24"/>
          <w:szCs w:val="24"/>
        </w:rPr>
        <w:t>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 xml:space="preserve">– ведение правильного и своевременного учета в </w:t>
      </w:r>
      <w:proofErr w:type="gramStart"/>
      <w:r w:rsidRPr="005D4C17">
        <w:rPr>
          <w:sz w:val="24"/>
          <w:szCs w:val="24"/>
        </w:rPr>
        <w:t>договорной</w:t>
      </w:r>
      <w:proofErr w:type="gramEnd"/>
      <w:r w:rsidRPr="005D4C17">
        <w:rPr>
          <w:sz w:val="24"/>
          <w:szCs w:val="24"/>
        </w:rPr>
        <w:t xml:space="preserve">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 xml:space="preserve">Данное Согласие </w:t>
      </w:r>
      <w:proofErr w:type="gramStart"/>
      <w:r w:rsidRPr="005D4C17">
        <w:rPr>
          <w:b/>
          <w:sz w:val="24"/>
          <w:szCs w:val="24"/>
        </w:rPr>
        <w:t>вступает в силу со дня его подписания и действует</w:t>
      </w:r>
      <w:proofErr w:type="gramEnd"/>
      <w:r w:rsidRPr="005D4C17">
        <w:rPr>
          <w:b/>
          <w:sz w:val="24"/>
          <w:szCs w:val="24"/>
        </w:rPr>
        <w:t xml:space="preserve">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5B" w:rsidRDefault="0082025B" w:rsidP="00B768EC">
      <w:pPr>
        <w:spacing w:line="240" w:lineRule="auto"/>
      </w:pPr>
      <w:r>
        <w:separator/>
      </w:r>
    </w:p>
  </w:endnote>
  <w:endnote w:type="continuationSeparator" w:id="0">
    <w:p w:rsidR="0082025B" w:rsidRDefault="0082025B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:rsidR="0082025B" w:rsidRDefault="0082025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D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25B" w:rsidRDefault="008202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5B" w:rsidRDefault="0082025B" w:rsidP="00B768EC">
      <w:pPr>
        <w:spacing w:line="240" w:lineRule="auto"/>
      </w:pPr>
      <w:r>
        <w:separator/>
      </w:r>
    </w:p>
  </w:footnote>
  <w:footnote w:type="continuationSeparator" w:id="0">
    <w:p w:rsidR="0082025B" w:rsidRDefault="0082025B" w:rsidP="00B768EC">
      <w:pPr>
        <w:spacing w:line="240" w:lineRule="auto"/>
      </w:pPr>
      <w:r>
        <w:continuationSeparator/>
      </w:r>
    </w:p>
  </w:footnote>
  <w:footnote w:id="1">
    <w:p w:rsidR="0082025B" w:rsidRDefault="0082025B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00FC2"/>
    <w:multiLevelType w:val="hybridMultilevel"/>
    <w:tmpl w:val="EF5C2BC2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8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5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6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0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18"/>
  </w:num>
  <w:num w:numId="6">
    <w:abstractNumId w:val="24"/>
  </w:num>
  <w:num w:numId="7">
    <w:abstractNumId w:val="25"/>
  </w:num>
  <w:num w:numId="8">
    <w:abstractNumId w:val="12"/>
  </w:num>
  <w:num w:numId="9">
    <w:abstractNumId w:val="33"/>
  </w:num>
  <w:num w:numId="10">
    <w:abstractNumId w:val="16"/>
  </w:num>
  <w:num w:numId="11">
    <w:abstractNumId w:val="28"/>
  </w:num>
  <w:num w:numId="12">
    <w:abstractNumId w:val="10"/>
  </w:num>
  <w:num w:numId="13">
    <w:abstractNumId w:val="4"/>
  </w:num>
  <w:num w:numId="14">
    <w:abstractNumId w:val="9"/>
  </w:num>
  <w:num w:numId="15">
    <w:abstractNumId w:val="19"/>
  </w:num>
  <w:num w:numId="16">
    <w:abstractNumId w:val="32"/>
  </w:num>
  <w:num w:numId="17">
    <w:abstractNumId w:val="31"/>
  </w:num>
  <w:num w:numId="18">
    <w:abstractNumId w:val="1"/>
  </w:num>
  <w:num w:numId="19">
    <w:abstractNumId w:val="7"/>
  </w:num>
  <w:num w:numId="20">
    <w:abstractNumId w:val="2"/>
  </w:num>
  <w:num w:numId="21">
    <w:abstractNumId w:val="29"/>
  </w:num>
  <w:num w:numId="22">
    <w:abstractNumId w:val="11"/>
  </w:num>
  <w:num w:numId="23">
    <w:abstractNumId w:val="30"/>
  </w:num>
  <w:num w:numId="24">
    <w:abstractNumId w:val="0"/>
  </w:num>
  <w:num w:numId="25">
    <w:abstractNumId w:val="15"/>
  </w:num>
  <w:num w:numId="26">
    <w:abstractNumId w:val="21"/>
  </w:num>
  <w:num w:numId="27">
    <w:abstractNumId w:val="22"/>
  </w:num>
  <w:num w:numId="28">
    <w:abstractNumId w:val="8"/>
  </w:num>
  <w:num w:numId="29">
    <w:abstractNumId w:val="20"/>
  </w:num>
  <w:num w:numId="30">
    <w:abstractNumId w:val="3"/>
  </w:num>
  <w:num w:numId="31">
    <w:abstractNumId w:val="23"/>
  </w:num>
  <w:num w:numId="32">
    <w:abstractNumId w:val="27"/>
  </w:num>
  <w:num w:numId="33">
    <w:abstractNumId w:val="5"/>
  </w:num>
  <w:num w:numId="34">
    <w:abstractNumId w:val="26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26B4"/>
    <w:rsid w:val="00046B5E"/>
    <w:rsid w:val="000473E5"/>
    <w:rsid w:val="00050D5B"/>
    <w:rsid w:val="00052DF0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97837"/>
    <w:rsid w:val="000C111C"/>
    <w:rsid w:val="000D5659"/>
    <w:rsid w:val="000E0BD0"/>
    <w:rsid w:val="000E2861"/>
    <w:rsid w:val="000E2F09"/>
    <w:rsid w:val="000E3CEF"/>
    <w:rsid w:val="000E7713"/>
    <w:rsid w:val="00111AD0"/>
    <w:rsid w:val="00127BDB"/>
    <w:rsid w:val="001373AC"/>
    <w:rsid w:val="00143AE7"/>
    <w:rsid w:val="00144CB7"/>
    <w:rsid w:val="00156A83"/>
    <w:rsid w:val="00165066"/>
    <w:rsid w:val="001650D1"/>
    <w:rsid w:val="00167E5A"/>
    <w:rsid w:val="0018044B"/>
    <w:rsid w:val="00192E11"/>
    <w:rsid w:val="0019706B"/>
    <w:rsid w:val="00197EA6"/>
    <w:rsid w:val="001B5EE2"/>
    <w:rsid w:val="001C1096"/>
    <w:rsid w:val="001C47C2"/>
    <w:rsid w:val="001C4BF4"/>
    <w:rsid w:val="001D2136"/>
    <w:rsid w:val="001D7DE8"/>
    <w:rsid w:val="001E1B94"/>
    <w:rsid w:val="001E238D"/>
    <w:rsid w:val="001E453D"/>
    <w:rsid w:val="001F27E9"/>
    <w:rsid w:val="0021347D"/>
    <w:rsid w:val="002168A9"/>
    <w:rsid w:val="002254F6"/>
    <w:rsid w:val="002276C0"/>
    <w:rsid w:val="002322CE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D5CD5"/>
    <w:rsid w:val="002D65C4"/>
    <w:rsid w:val="002E3DFA"/>
    <w:rsid w:val="002E7AB3"/>
    <w:rsid w:val="002F10E4"/>
    <w:rsid w:val="002F3080"/>
    <w:rsid w:val="003053AD"/>
    <w:rsid w:val="0030609F"/>
    <w:rsid w:val="00306FF0"/>
    <w:rsid w:val="00324D62"/>
    <w:rsid w:val="00334131"/>
    <w:rsid w:val="0033610B"/>
    <w:rsid w:val="00336C63"/>
    <w:rsid w:val="00346FC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50F8"/>
    <w:rsid w:val="003D285E"/>
    <w:rsid w:val="003D43B0"/>
    <w:rsid w:val="003E5303"/>
    <w:rsid w:val="003F2BD4"/>
    <w:rsid w:val="003F35D5"/>
    <w:rsid w:val="003F41EC"/>
    <w:rsid w:val="003F59D4"/>
    <w:rsid w:val="003F72CA"/>
    <w:rsid w:val="00400A12"/>
    <w:rsid w:val="004033A2"/>
    <w:rsid w:val="00411196"/>
    <w:rsid w:val="004114E8"/>
    <w:rsid w:val="00413395"/>
    <w:rsid w:val="004140EE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06A5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D2F95"/>
    <w:rsid w:val="005D760F"/>
    <w:rsid w:val="005E1CA7"/>
    <w:rsid w:val="005E4E49"/>
    <w:rsid w:val="005E5211"/>
    <w:rsid w:val="005E6F69"/>
    <w:rsid w:val="005F1D7A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265C"/>
    <w:rsid w:val="00792D40"/>
    <w:rsid w:val="007A6F62"/>
    <w:rsid w:val="007C1C69"/>
    <w:rsid w:val="007C2AFB"/>
    <w:rsid w:val="007D0435"/>
    <w:rsid w:val="007D1EBB"/>
    <w:rsid w:val="007E20D7"/>
    <w:rsid w:val="007E2CA5"/>
    <w:rsid w:val="007E3FAC"/>
    <w:rsid w:val="007E5852"/>
    <w:rsid w:val="007E61D9"/>
    <w:rsid w:val="007F5D84"/>
    <w:rsid w:val="007F771D"/>
    <w:rsid w:val="00800D9F"/>
    <w:rsid w:val="00811C5F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0638"/>
    <w:rsid w:val="008B53CD"/>
    <w:rsid w:val="008C2490"/>
    <w:rsid w:val="008C3487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27A12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05C4"/>
    <w:rsid w:val="009865F7"/>
    <w:rsid w:val="00986791"/>
    <w:rsid w:val="00990880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16E7"/>
    <w:rsid w:val="00A66A5D"/>
    <w:rsid w:val="00A675E9"/>
    <w:rsid w:val="00A71595"/>
    <w:rsid w:val="00A75171"/>
    <w:rsid w:val="00A8094C"/>
    <w:rsid w:val="00AA0E3A"/>
    <w:rsid w:val="00AA3532"/>
    <w:rsid w:val="00AB1BDF"/>
    <w:rsid w:val="00AB1C79"/>
    <w:rsid w:val="00AB5CE9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665B"/>
    <w:rsid w:val="00B44113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67A5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33A4"/>
    <w:rsid w:val="00D35D42"/>
    <w:rsid w:val="00D42C61"/>
    <w:rsid w:val="00D45FFC"/>
    <w:rsid w:val="00D505F8"/>
    <w:rsid w:val="00D551C6"/>
    <w:rsid w:val="00D63A39"/>
    <w:rsid w:val="00D6503F"/>
    <w:rsid w:val="00D65EAB"/>
    <w:rsid w:val="00D870CC"/>
    <w:rsid w:val="00D94057"/>
    <w:rsid w:val="00DA2A2A"/>
    <w:rsid w:val="00DB0AA8"/>
    <w:rsid w:val="00DB67B0"/>
    <w:rsid w:val="00DB7579"/>
    <w:rsid w:val="00DC16DA"/>
    <w:rsid w:val="00DC747E"/>
    <w:rsid w:val="00DD3FE1"/>
    <w:rsid w:val="00DD47CC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27767"/>
    <w:rsid w:val="00E34E86"/>
    <w:rsid w:val="00E35EDA"/>
    <w:rsid w:val="00E361BB"/>
    <w:rsid w:val="00E475B8"/>
    <w:rsid w:val="00E57628"/>
    <w:rsid w:val="00E61DF3"/>
    <w:rsid w:val="00E620D1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C6998"/>
    <w:rsid w:val="00EC75A5"/>
    <w:rsid w:val="00EC7930"/>
    <w:rsid w:val="00ED30FB"/>
    <w:rsid w:val="00ED3682"/>
    <w:rsid w:val="00ED6180"/>
    <w:rsid w:val="00EE2D58"/>
    <w:rsid w:val="00EE64ED"/>
    <w:rsid w:val="00EE73B1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D4989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7512-DE9F-4FF1-9BBC-DFC1E948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14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100</cp:revision>
  <cp:lastPrinted>2019-01-24T08:54:00Z</cp:lastPrinted>
  <dcterms:created xsi:type="dcterms:W3CDTF">2019-01-18T07:59:00Z</dcterms:created>
  <dcterms:modified xsi:type="dcterms:W3CDTF">2020-05-13T17:06:00Z</dcterms:modified>
</cp:coreProperties>
</file>