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7D3576">
        <w:rPr>
          <w:b/>
          <w:bCs/>
        </w:rPr>
        <w:t>открытого</w:t>
      </w:r>
      <w:r w:rsidR="00E61DF3" w:rsidRPr="00B35645">
        <w:rPr>
          <w:b/>
          <w:bCs/>
        </w:rPr>
        <w:t xml:space="preserve"> </w:t>
      </w:r>
      <w:r w:rsidR="003F2BD4" w:rsidRPr="00B35645">
        <w:rPr>
          <w:b/>
          <w:bCs/>
        </w:rPr>
        <w:t>запроса</w:t>
      </w:r>
      <w:r w:rsidR="003F2BD4" w:rsidRPr="00E83DEC">
        <w:rPr>
          <w:b/>
          <w:bCs/>
        </w:rPr>
        <w:t xml:space="preserve">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 </w:t>
      </w:r>
      <w:r w:rsidR="00696A55">
        <w:rPr>
          <w:b/>
        </w:rPr>
        <w:t>«</w:t>
      </w:r>
      <w:r w:rsidR="00B45538">
        <w:rPr>
          <w:b/>
        </w:rPr>
        <w:t>Услуги по аттестации семи методик анализа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proofErr w:type="gramStart"/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 xml:space="preserve">АО «НИИМЭ»,124460, г. Москва, г. Зеленоград, </w:t>
      </w:r>
      <w:r w:rsidR="00B45538">
        <w:rPr>
          <w:bCs/>
          <w:sz w:val="24"/>
        </w:rPr>
        <w:t xml:space="preserve">ул. Академика Валиева, д.6, </w:t>
      </w:r>
      <w:r w:rsidRPr="00AD3FCC">
        <w:rPr>
          <w:bCs/>
          <w:sz w:val="24"/>
        </w:rPr>
        <w:t>стр.1</w:t>
      </w:r>
      <w:r w:rsidRPr="00AD3FCC">
        <w:rPr>
          <w:b/>
          <w:sz w:val="24"/>
          <w:szCs w:val="24"/>
        </w:rPr>
        <w:t>.</w:t>
      </w:r>
      <w:proofErr w:type="gramEnd"/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3C3077" w:rsidRPr="007A02F7">
        <w:rPr>
          <w:bCs/>
          <w:sz w:val="24"/>
        </w:rPr>
        <w:t>+7 (</w:t>
      </w:r>
      <w:r w:rsidR="00B45538">
        <w:rPr>
          <w:bCs/>
          <w:sz w:val="24"/>
        </w:rPr>
        <w:t>495</w:t>
      </w:r>
      <w:r w:rsidR="003C3077" w:rsidRPr="007A02F7">
        <w:rPr>
          <w:bCs/>
          <w:sz w:val="24"/>
        </w:rPr>
        <w:t xml:space="preserve">) </w:t>
      </w:r>
      <w:r w:rsidR="00B45538">
        <w:rPr>
          <w:bCs/>
          <w:sz w:val="24"/>
        </w:rPr>
        <w:t>229 74 81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2A02FB" w:rsidRPr="007C1C69">
        <w:rPr>
          <w:sz w:val="24"/>
          <w:szCs w:val="24"/>
        </w:rPr>
        <w:t xml:space="preserve"> </w:t>
      </w:r>
      <w:hyperlink r:id="rId10" w:history="1">
        <w:r w:rsidR="0052200B" w:rsidRPr="0052200B">
          <w:t xml:space="preserve"> </w:t>
        </w:r>
        <w:proofErr w:type="spellStart"/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proofErr w:type="spellEnd"/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B35645">
        <w:rPr>
          <w:b/>
          <w:sz w:val="24"/>
          <w:szCs w:val="24"/>
          <w:u w:val="single"/>
        </w:rPr>
        <w:t xml:space="preserve">не позднее </w:t>
      </w:r>
      <w:r w:rsidR="008266A7" w:rsidRPr="00B35645">
        <w:rPr>
          <w:b/>
          <w:sz w:val="24"/>
          <w:szCs w:val="24"/>
          <w:u w:val="single"/>
        </w:rPr>
        <w:t>17</w:t>
      </w:r>
      <w:r w:rsidRPr="00B35645">
        <w:rPr>
          <w:b/>
          <w:sz w:val="24"/>
          <w:szCs w:val="24"/>
          <w:u w:val="single"/>
        </w:rPr>
        <w:t xml:space="preserve">:00 часов (местное время)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FD04E7">
        <w:rPr>
          <w:b/>
          <w:sz w:val="24"/>
          <w:szCs w:val="24"/>
          <w:u w:val="single"/>
        </w:rPr>
        <w:t>1</w:t>
      </w:r>
      <w:r w:rsidR="007F2841">
        <w:rPr>
          <w:b/>
          <w:sz w:val="24"/>
          <w:szCs w:val="24"/>
          <w:u w:val="single"/>
        </w:rPr>
        <w:t>1</w:t>
      </w:r>
      <w:r w:rsidR="00DD077A">
        <w:rPr>
          <w:b/>
          <w:sz w:val="24"/>
          <w:szCs w:val="24"/>
          <w:u w:val="single"/>
        </w:rPr>
        <w:t>.09</w:t>
      </w:r>
      <w:r w:rsidR="00B45538">
        <w:rPr>
          <w:b/>
          <w:sz w:val="24"/>
          <w:szCs w:val="24"/>
          <w:u w:val="single"/>
        </w:rPr>
        <w:t>.</w:t>
      </w:r>
      <w:r w:rsidR="00B5623A" w:rsidRPr="00B35645">
        <w:rPr>
          <w:b/>
          <w:sz w:val="24"/>
          <w:szCs w:val="24"/>
          <w:u w:val="single"/>
        </w:rPr>
        <w:t>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8A64AB" w:rsidRDefault="0052200B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B45538" w:rsidRPr="00B45538">
        <w:rPr>
          <w:b/>
          <w:sz w:val="24"/>
          <w:szCs w:val="24"/>
        </w:rPr>
        <w:t xml:space="preserve">Услуги по аттестации семи методик анализа </w:t>
      </w:r>
      <w:r w:rsidR="00D505F8"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TableStyle0"/>
        <w:tblW w:w="93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"/>
        <w:gridCol w:w="2402"/>
        <w:gridCol w:w="1526"/>
        <w:gridCol w:w="1176"/>
        <w:gridCol w:w="865"/>
        <w:gridCol w:w="851"/>
        <w:gridCol w:w="992"/>
        <w:gridCol w:w="1276"/>
      </w:tblGrid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 xml:space="preserve">№ </w:t>
            </w:r>
            <w:proofErr w:type="gramStart"/>
            <w:r w:rsidRPr="009719DD">
              <w:rPr>
                <w:sz w:val="18"/>
                <w:szCs w:val="18"/>
              </w:rPr>
              <w:t>п</w:t>
            </w:r>
            <w:proofErr w:type="gramEnd"/>
            <w:r w:rsidRPr="009719DD">
              <w:rPr>
                <w:sz w:val="18"/>
                <w:szCs w:val="18"/>
              </w:rPr>
              <w:t>/п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sz w:val="18"/>
                <w:szCs w:val="18"/>
              </w:rPr>
              <w:br/>
              <w:t>(ГОСТ</w:t>
            </w:r>
            <w:proofErr w:type="gramStart"/>
            <w:r w:rsidRPr="009719DD">
              <w:rPr>
                <w:sz w:val="18"/>
                <w:szCs w:val="18"/>
              </w:rPr>
              <w:t xml:space="preserve"> ,</w:t>
            </w:r>
            <w:proofErr w:type="gramEnd"/>
            <w:r w:rsidRPr="009719DD">
              <w:rPr>
                <w:sz w:val="18"/>
                <w:szCs w:val="18"/>
              </w:rPr>
              <w:t>ТУ, ОСТ, спецификация или др.)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Дополнительные требования</w:t>
            </w:r>
            <w:r w:rsidRPr="009719DD">
              <w:rPr>
                <w:sz w:val="18"/>
                <w:szCs w:val="18"/>
              </w:rPr>
              <w:br/>
              <w:t>к п. 4.3</w:t>
            </w: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Единица</w:t>
            </w:r>
            <w:r w:rsidRPr="009719D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Цена за единицу</w:t>
            </w:r>
            <w:r w:rsidRPr="009719DD">
              <w:rPr>
                <w:sz w:val="18"/>
                <w:szCs w:val="18"/>
              </w:rPr>
              <w:br/>
              <w:t>без НДС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B45538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Сумма</w:t>
            </w:r>
            <w:r w:rsidRPr="009719DD">
              <w:rPr>
                <w:sz w:val="18"/>
                <w:szCs w:val="18"/>
              </w:rPr>
              <w:br/>
              <w:t>без НДС</w:t>
            </w: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075798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>Методика измерений массовой доли аммиака в пробах водного раствора аммиака  (</w:t>
            </w:r>
            <w:r w:rsidRPr="00075798">
              <w:rPr>
                <w:sz w:val="18"/>
                <w:szCs w:val="18"/>
                <w:lang w:val="en-US"/>
              </w:rPr>
              <w:t>NH</w:t>
            </w:r>
            <w:r w:rsidRPr="00075798">
              <w:rPr>
                <w:sz w:val="18"/>
                <w:szCs w:val="18"/>
                <w:vertAlign w:val="subscript"/>
              </w:rPr>
              <w:t>4</w:t>
            </w:r>
            <w:r w:rsidRPr="00075798">
              <w:rPr>
                <w:sz w:val="18"/>
                <w:szCs w:val="18"/>
                <w:lang w:val="en-US"/>
              </w:rPr>
              <w:t>OH</w:t>
            </w:r>
            <w:r w:rsidRPr="00075798">
              <w:rPr>
                <w:sz w:val="18"/>
                <w:szCs w:val="18"/>
              </w:rPr>
              <w:t xml:space="preserve"> 29%) методом кислотно-основного титрования (диапазон измерений 23-30 масс</w:t>
            </w:r>
            <w:proofErr w:type="gramStart"/>
            <w:r w:rsidRPr="00075798">
              <w:rPr>
                <w:sz w:val="18"/>
                <w:szCs w:val="18"/>
              </w:rPr>
              <w:t xml:space="preserve">.%; </w:t>
            </w:r>
            <w:proofErr w:type="gramEnd"/>
            <w:r w:rsidRPr="00075798">
              <w:rPr>
                <w:sz w:val="18"/>
                <w:szCs w:val="18"/>
              </w:rPr>
              <w:t xml:space="preserve">автоматический </w:t>
            </w:r>
            <w:proofErr w:type="spellStart"/>
            <w:r w:rsidRPr="00075798">
              <w:rPr>
                <w:sz w:val="18"/>
                <w:szCs w:val="18"/>
              </w:rPr>
              <w:t>титратор</w:t>
            </w:r>
            <w:proofErr w:type="spellEnd"/>
            <w:r w:rsidRPr="00075798">
              <w:rPr>
                <w:sz w:val="18"/>
                <w:szCs w:val="18"/>
              </w:rPr>
              <w:t xml:space="preserve"> Т50 ф.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Mettler</w:t>
            </w:r>
            <w:proofErr w:type="spellEnd"/>
            <w:r w:rsidRPr="00075798">
              <w:rPr>
                <w:sz w:val="18"/>
                <w:szCs w:val="18"/>
              </w:rPr>
              <w:t xml:space="preserve"> </w:t>
            </w:r>
            <w:r w:rsidRPr="00075798">
              <w:rPr>
                <w:sz w:val="18"/>
                <w:szCs w:val="18"/>
                <w:lang w:val="en-US"/>
              </w:rPr>
              <w:t>Toledo</w:t>
            </w:r>
            <w:r w:rsidRPr="00075798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</w:pPr>
            <w:r w:rsidRPr="008020CA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8A152E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8A152E" w:rsidRDefault="00B45538" w:rsidP="0015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8A152E" w:rsidRDefault="00B45538" w:rsidP="00151217">
            <w:pPr>
              <w:jc w:val="center"/>
              <w:rPr>
                <w:sz w:val="18"/>
                <w:szCs w:val="18"/>
              </w:rPr>
            </w:pPr>
            <w:r w:rsidRPr="00AE03F1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075798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>Методика измерений массовой доли аммиака в пробах 2%-ого раствора аммиака водного методом кислотно-основного титрования (диапазон измерений 1-5 масс</w:t>
            </w:r>
            <w:proofErr w:type="gramStart"/>
            <w:r w:rsidRPr="00075798">
              <w:rPr>
                <w:sz w:val="18"/>
                <w:szCs w:val="18"/>
              </w:rPr>
              <w:t xml:space="preserve">.%; </w:t>
            </w:r>
            <w:proofErr w:type="gramEnd"/>
            <w:r w:rsidRPr="00075798">
              <w:rPr>
                <w:sz w:val="18"/>
                <w:szCs w:val="18"/>
              </w:rPr>
              <w:t xml:space="preserve">автоматический </w:t>
            </w:r>
            <w:proofErr w:type="spellStart"/>
            <w:r w:rsidRPr="00075798">
              <w:rPr>
                <w:sz w:val="18"/>
                <w:szCs w:val="18"/>
              </w:rPr>
              <w:t>титратор</w:t>
            </w:r>
            <w:proofErr w:type="spellEnd"/>
            <w:r w:rsidRPr="00075798">
              <w:rPr>
                <w:sz w:val="18"/>
                <w:szCs w:val="18"/>
              </w:rPr>
              <w:t xml:space="preserve"> Т50 ф.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Mettler</w:t>
            </w:r>
            <w:proofErr w:type="spellEnd"/>
            <w:r w:rsidRPr="00075798">
              <w:rPr>
                <w:sz w:val="18"/>
                <w:szCs w:val="18"/>
              </w:rPr>
              <w:t xml:space="preserve"> </w:t>
            </w:r>
            <w:r w:rsidRPr="00075798">
              <w:rPr>
                <w:sz w:val="18"/>
                <w:szCs w:val="18"/>
                <w:lang w:val="en-US"/>
              </w:rPr>
              <w:t>Toledo</w:t>
            </w:r>
            <w:r w:rsidRPr="00075798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</w:pPr>
            <w:r w:rsidRPr="004D5E7D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8A152E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075798" w:rsidRDefault="00B45538" w:rsidP="0015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8A152E" w:rsidRDefault="00B45538" w:rsidP="00151217">
            <w:pPr>
              <w:jc w:val="center"/>
              <w:rPr>
                <w:sz w:val="18"/>
                <w:szCs w:val="18"/>
              </w:rPr>
            </w:pPr>
            <w:r w:rsidRPr="00AE03F1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 xml:space="preserve">Методика измерений массовой доли пероксида водорода в пробах перекиси водорода методом </w:t>
            </w:r>
            <w:proofErr w:type="spellStart"/>
            <w:r w:rsidRPr="00075798">
              <w:rPr>
                <w:sz w:val="18"/>
                <w:szCs w:val="18"/>
              </w:rPr>
              <w:t>перманганатометрического</w:t>
            </w:r>
            <w:proofErr w:type="spellEnd"/>
            <w:r w:rsidRPr="00075798">
              <w:rPr>
                <w:sz w:val="18"/>
                <w:szCs w:val="18"/>
              </w:rPr>
              <w:t xml:space="preserve"> титрования (диапазон измерений 30-32 масс</w:t>
            </w:r>
            <w:proofErr w:type="gramStart"/>
            <w:r w:rsidRPr="00075798">
              <w:rPr>
                <w:sz w:val="18"/>
                <w:szCs w:val="18"/>
              </w:rPr>
              <w:t xml:space="preserve">.%; </w:t>
            </w:r>
            <w:proofErr w:type="gramEnd"/>
            <w:r w:rsidRPr="00075798">
              <w:rPr>
                <w:sz w:val="18"/>
                <w:szCs w:val="18"/>
              </w:rPr>
              <w:t xml:space="preserve">автоматический </w:t>
            </w:r>
            <w:proofErr w:type="spellStart"/>
            <w:r w:rsidRPr="00075798">
              <w:rPr>
                <w:sz w:val="18"/>
                <w:szCs w:val="18"/>
              </w:rPr>
              <w:t>титратор</w:t>
            </w:r>
            <w:proofErr w:type="spellEnd"/>
            <w:r w:rsidRPr="00075798">
              <w:rPr>
                <w:sz w:val="18"/>
                <w:szCs w:val="18"/>
              </w:rPr>
              <w:t xml:space="preserve"> Т50 ф.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Mettler</w:t>
            </w:r>
            <w:proofErr w:type="spellEnd"/>
            <w:r w:rsidRPr="00075798">
              <w:rPr>
                <w:sz w:val="18"/>
                <w:szCs w:val="18"/>
              </w:rPr>
              <w:t xml:space="preserve"> </w:t>
            </w:r>
            <w:r w:rsidRPr="00075798">
              <w:rPr>
                <w:sz w:val="18"/>
                <w:szCs w:val="18"/>
                <w:lang w:val="en-US"/>
              </w:rPr>
              <w:t>Toledo</w:t>
            </w:r>
            <w:r w:rsidRPr="00075798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9A5832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0200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745A5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 xml:space="preserve">Методика измерений основного вещества (аммиака) в пробах суспензии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Klebosol</w:t>
            </w:r>
            <w:proofErr w:type="spellEnd"/>
            <w:r w:rsidRPr="00075798">
              <w:rPr>
                <w:sz w:val="18"/>
                <w:szCs w:val="18"/>
              </w:rPr>
              <w:t xml:space="preserve"> методом кислотно-основного титрования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9A5832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0200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745A5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 xml:space="preserve">Методика измерений массовых долей элементов (примесей) в пробах перекиси водорода методом масс-спектрометрии с индуктивно связанной плазмой (36 элементов, диапазон измерений 5-150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9A5832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0200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745A5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  <w:r w:rsidRPr="00075798">
              <w:rPr>
                <w:sz w:val="18"/>
                <w:szCs w:val="18"/>
              </w:rPr>
              <w:t xml:space="preserve">Методика измерений массовых долей элементов (примесей) в пробах аммиака водного методом масс-спектрометрии с индуктивно связанной плазмой (36 элементов, диапазон измерений 5-500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9A5832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0200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745A5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  <w:tr w:rsidR="00B45538" w:rsidRPr="009719DD" w:rsidTr="00B45538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075798" w:rsidRDefault="00B45538" w:rsidP="00151217">
            <w:pPr>
              <w:jc w:val="center"/>
              <w:rPr>
                <w:sz w:val="18"/>
                <w:szCs w:val="18"/>
              </w:rPr>
            </w:pPr>
            <w:proofErr w:type="gramStart"/>
            <w:r w:rsidRPr="00075798">
              <w:rPr>
                <w:sz w:val="18"/>
                <w:szCs w:val="18"/>
              </w:rPr>
              <w:t xml:space="preserve">Методика измерений массовых долей элементов (примесей) в пробах </w:t>
            </w:r>
            <w:r w:rsidRPr="00075798">
              <w:rPr>
                <w:sz w:val="18"/>
                <w:szCs w:val="18"/>
              </w:rPr>
              <w:lastRenderedPageBreak/>
              <w:t xml:space="preserve">сверхчистой </w:t>
            </w:r>
            <w:proofErr w:type="spellStart"/>
            <w:r w:rsidRPr="00075798">
              <w:rPr>
                <w:sz w:val="18"/>
                <w:szCs w:val="18"/>
              </w:rPr>
              <w:t>деионизованной</w:t>
            </w:r>
            <w:proofErr w:type="spellEnd"/>
            <w:r w:rsidRPr="00075798">
              <w:rPr>
                <w:sz w:val="18"/>
                <w:szCs w:val="18"/>
              </w:rPr>
              <w:t xml:space="preserve"> воды  методом масс-спектрометрии с индуктивно связанной плазмой (36 элементов, диапазон измерений 1-100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sz w:val="18"/>
                <w:szCs w:val="18"/>
              </w:rPr>
              <w:t xml:space="preserve">, для бора: 20-100 </w:t>
            </w:r>
            <w:proofErr w:type="spellStart"/>
            <w:r w:rsidRPr="00075798">
              <w:rPr>
                <w:sz w:val="18"/>
                <w:szCs w:val="18"/>
                <w:lang w:val="en-US"/>
              </w:rPr>
              <w:t>ppt</w:t>
            </w:r>
            <w:proofErr w:type="spellEnd"/>
            <w:r w:rsidRPr="00075798">
              <w:rPr>
                <w:sz w:val="18"/>
                <w:szCs w:val="18"/>
              </w:rPr>
              <w:t xml:space="preserve"> и от 1 до 50 </w:t>
            </w:r>
            <w:r w:rsidRPr="00075798">
              <w:rPr>
                <w:sz w:val="18"/>
                <w:szCs w:val="18"/>
                <w:lang w:val="en-US"/>
              </w:rPr>
              <w:t>ppb</w:t>
            </w:r>
            <w:proofErr w:type="gramEnd"/>
          </w:p>
        </w:tc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9A5832">
              <w:rPr>
                <w:sz w:val="18"/>
                <w:szCs w:val="18"/>
              </w:rPr>
              <w:lastRenderedPageBreak/>
              <w:t>Согласно спецификации производителя</w:t>
            </w:r>
          </w:p>
        </w:tc>
        <w:tc>
          <w:tcPr>
            <w:tcW w:w="11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5538" w:rsidRPr="007455F4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0200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5538" w:rsidRDefault="00B45538" w:rsidP="00151217">
            <w:pPr>
              <w:jc w:val="center"/>
            </w:pPr>
            <w:r w:rsidRPr="00745A5E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5538" w:rsidRPr="009719DD" w:rsidRDefault="00B45538" w:rsidP="001512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5538" w:rsidRPr="008E5008" w:rsidRDefault="00B45538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</w:t>
      </w:r>
      <w:r w:rsidRPr="007D3576">
        <w:rPr>
          <w:rFonts w:eastAsia="Calibri"/>
          <w:sz w:val="24"/>
          <w:szCs w:val="24"/>
          <w:lang w:eastAsia="en-US"/>
        </w:rPr>
        <w:t xml:space="preserve">«НИИМЭ»,124460, г. Москва, г. Зеленоград, </w:t>
      </w:r>
      <w:r w:rsidR="0021795B" w:rsidRPr="007D3576">
        <w:rPr>
          <w:rFonts w:eastAsia="Calibri"/>
          <w:sz w:val="24"/>
          <w:szCs w:val="24"/>
          <w:lang w:eastAsia="en-US"/>
        </w:rPr>
        <w:t>ул. Академика Валиева</w:t>
      </w:r>
      <w:r w:rsidRPr="007D3576">
        <w:rPr>
          <w:rFonts w:eastAsia="Calibri"/>
          <w:sz w:val="24"/>
          <w:szCs w:val="24"/>
          <w:lang w:eastAsia="en-US"/>
        </w:rPr>
        <w:t>,</w:t>
      </w:r>
      <w:r w:rsidR="0021795B" w:rsidRPr="007D3576">
        <w:rPr>
          <w:rFonts w:eastAsia="Calibri"/>
          <w:sz w:val="24"/>
          <w:szCs w:val="24"/>
          <w:lang w:eastAsia="en-US"/>
        </w:rPr>
        <w:t xml:space="preserve"> 6</w:t>
      </w:r>
      <w:r w:rsidRPr="007D3576">
        <w:rPr>
          <w:rFonts w:eastAsia="Calibri"/>
          <w:sz w:val="24"/>
          <w:szCs w:val="24"/>
          <w:lang w:eastAsia="en-US"/>
        </w:rPr>
        <w:t xml:space="preserve"> стр.1.</w:t>
      </w:r>
    </w:p>
    <w:p w:rsidR="00DB67B0" w:rsidRPr="007D3576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 w:rsidRPr="007D3576">
        <w:rPr>
          <w:rFonts w:eastAsia="Calibri"/>
          <w:b/>
          <w:sz w:val="24"/>
          <w:szCs w:val="24"/>
          <w:lang w:eastAsia="en-US"/>
        </w:rPr>
        <w:t xml:space="preserve">           Условия оплаты: 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 xml:space="preserve">Оплата в течение 10 </w:t>
      </w:r>
      <w:r w:rsidR="007D3576" w:rsidRPr="007D3576">
        <w:rPr>
          <w:rFonts w:eastAsia="Calibri"/>
          <w:sz w:val="24"/>
          <w:szCs w:val="24"/>
          <w:lang w:eastAsia="en-US"/>
        </w:rPr>
        <w:t xml:space="preserve">рабочих </w:t>
      </w:r>
      <w:r w:rsidRPr="007D3576">
        <w:rPr>
          <w:rFonts w:eastAsia="Calibri"/>
          <w:sz w:val="24"/>
          <w:szCs w:val="24"/>
          <w:lang w:eastAsia="en-US"/>
        </w:rPr>
        <w:t xml:space="preserve">дней после </w:t>
      </w:r>
      <w:r w:rsidR="007D3576" w:rsidRPr="007D3576">
        <w:rPr>
          <w:rFonts w:eastAsia="Calibri"/>
          <w:sz w:val="24"/>
          <w:szCs w:val="24"/>
          <w:lang w:eastAsia="en-US"/>
        </w:rPr>
        <w:t>оказания услуги</w:t>
      </w:r>
      <w:r w:rsidRPr="007D3576">
        <w:rPr>
          <w:rFonts w:eastAsia="Calibri"/>
          <w:sz w:val="24"/>
          <w:szCs w:val="24"/>
          <w:lang w:eastAsia="en-US"/>
        </w:rPr>
        <w:t xml:space="preserve">. </w:t>
      </w:r>
    </w:p>
    <w:p w:rsidR="00DB67B0" w:rsidRPr="007D3576" w:rsidRDefault="007D3576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color w:val="FF0000"/>
          <w:sz w:val="24"/>
          <w:szCs w:val="24"/>
          <w:lang w:eastAsia="en-US"/>
        </w:rPr>
      </w:pPr>
      <w:r w:rsidRPr="003312B1">
        <w:rPr>
          <w:rFonts w:eastAsia="Calibri"/>
          <w:sz w:val="24"/>
          <w:szCs w:val="24"/>
          <w:lang w:eastAsia="en-US"/>
        </w:rPr>
        <w:t>Ава</w:t>
      </w:r>
      <w:r w:rsidRPr="007D3576">
        <w:rPr>
          <w:rFonts w:eastAsia="Calibri"/>
          <w:sz w:val="24"/>
          <w:szCs w:val="24"/>
          <w:lang w:eastAsia="en-US"/>
        </w:rPr>
        <w:t>нс не более 5</w:t>
      </w:r>
      <w:r w:rsidR="00DB67B0" w:rsidRPr="007D3576">
        <w:rPr>
          <w:rFonts w:eastAsia="Calibri"/>
          <w:sz w:val="24"/>
          <w:szCs w:val="24"/>
          <w:lang w:eastAsia="en-US"/>
        </w:rPr>
        <w:t>0%</w:t>
      </w:r>
      <w:r w:rsidR="002E7E75" w:rsidRPr="007D3576">
        <w:rPr>
          <w:rFonts w:eastAsia="Calibri"/>
          <w:sz w:val="24"/>
          <w:szCs w:val="24"/>
          <w:lang w:eastAsia="en-US"/>
        </w:rPr>
        <w:t xml:space="preserve">  </w:t>
      </w:r>
      <w:bookmarkStart w:id="36" w:name="_GoBack"/>
      <w:bookmarkEnd w:id="36"/>
    </w:p>
    <w:p w:rsidR="00DD077A" w:rsidRPr="007D3576" w:rsidRDefault="00DD077A" w:rsidP="00DD077A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rPr>
          <w:sz w:val="24"/>
          <w:szCs w:val="24"/>
        </w:rPr>
      </w:pPr>
      <w:r w:rsidRPr="007D3576">
        <w:rPr>
          <w:sz w:val="24"/>
          <w:szCs w:val="24"/>
        </w:rPr>
        <w:t xml:space="preserve">Оплата всех денежных платежей, предусмотренных договором, осуществляется АО «НИИМЭ» в безналичном порядке на </w:t>
      </w:r>
      <w:r w:rsidR="007D3576" w:rsidRPr="007D3576">
        <w:rPr>
          <w:sz w:val="24"/>
          <w:szCs w:val="24"/>
        </w:rPr>
        <w:t>расчетный счет Заказчика.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 xml:space="preserve">Коммерческая часть может содержать условия, критичные для данной Закупки. В </w:t>
      </w:r>
      <w:proofErr w:type="gramStart"/>
      <w:r w:rsidR="008A64AB" w:rsidRPr="000473E5">
        <w:rPr>
          <w:sz w:val="24"/>
        </w:rPr>
        <w:t>таком</w:t>
      </w:r>
      <w:proofErr w:type="gramEnd"/>
      <w:r w:rsidR="008A64AB" w:rsidRPr="000473E5">
        <w:rPr>
          <w:sz w:val="24"/>
        </w:rPr>
        <w:t xml:space="preserve">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</w:t>
      </w:r>
      <w:proofErr w:type="gramEnd"/>
      <w:r w:rsidR="009A5B13" w:rsidRPr="000473E5">
        <w:rPr>
          <w:sz w:val="24"/>
        </w:rPr>
        <w:t xml:space="preserve"> расчеты сторон по Договору должны осуществляться через банковские счета сторон, открытые  в ПАО «МТС-Банк».</w:t>
      </w:r>
    </w:p>
    <w:p w:rsidR="008A64AB" w:rsidRPr="000473E5" w:rsidRDefault="001D7DE8" w:rsidP="000447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</w:t>
      </w:r>
      <w:r w:rsidR="00044714">
        <w:rPr>
          <w:sz w:val="24"/>
        </w:rPr>
        <w:t>платежей и расчетов по Договору.</w:t>
      </w:r>
      <w:r w:rsidR="009A5B13" w:rsidRPr="000473E5">
        <w:rPr>
          <w:sz w:val="24"/>
        </w:rPr>
        <w:t xml:space="preserve"> </w:t>
      </w:r>
      <w:bookmarkStart w:id="37" w:name="_Ref57581655"/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8" w:name="_Toc529455228"/>
      <w:bookmarkStart w:id="39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8"/>
      <w:bookmarkEnd w:id="39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40" w:name="_Toc528232078"/>
      <w:bookmarkStart w:id="41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40"/>
      <w:bookmarkEnd w:id="41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7D3576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2" w:name="_Toc209261658"/>
      <w:bookmarkStart w:id="43" w:name="_Toc529455229"/>
      <w:bookmarkStart w:id="44" w:name="_Toc531346597"/>
      <w:bookmarkEnd w:id="37"/>
      <w:r w:rsidRPr="007D3576">
        <w:rPr>
          <w:sz w:val="24"/>
        </w:rPr>
        <w:lastRenderedPageBreak/>
        <w:t>4.Подача Ценовых Предложений и их прием</w:t>
      </w:r>
      <w:bookmarkEnd w:id="42"/>
      <w:bookmarkEnd w:id="43"/>
      <w:bookmarkEnd w:id="44"/>
    </w:p>
    <w:p w:rsidR="00FD04E7" w:rsidRDefault="00FD04E7" w:rsidP="00FD04E7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>
        <w:rPr>
          <w:b w:val="0"/>
          <w:bCs w:val="0"/>
          <w:color w:val="FF0000"/>
          <w:sz w:val="24"/>
          <w:szCs w:val="24"/>
        </w:rPr>
        <w:t xml:space="preserve"> </w:t>
      </w:r>
      <w:r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>
        <w:rPr>
          <w:b w:val="0"/>
          <w:bCs w:val="0"/>
          <w:color w:val="FF0000"/>
          <w:sz w:val="24"/>
          <w:szCs w:val="24"/>
        </w:rPr>
        <w:t>ор</w:t>
      </w:r>
      <w:r w:rsidR="00AB6108">
        <w:rPr>
          <w:b w:val="0"/>
          <w:bCs w:val="0"/>
          <w:color w:val="FF0000"/>
          <w:sz w:val="24"/>
          <w:szCs w:val="24"/>
        </w:rPr>
        <w:t>мацию: номер процедуры «200054</w:t>
      </w:r>
      <w:r w:rsidRPr="003B263E">
        <w:rPr>
          <w:b w:val="0"/>
          <w:bCs w:val="0"/>
          <w:color w:val="FF0000"/>
          <w:sz w:val="24"/>
          <w:szCs w:val="24"/>
        </w:rPr>
        <w:t xml:space="preserve">»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</w:t>
      </w:r>
      <w:r w:rsidRPr="00BA08E8">
        <w:rPr>
          <w:sz w:val="24"/>
          <w:szCs w:val="24"/>
        </w:rPr>
        <w:lastRenderedPageBreak/>
        <w:t>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3"/>
      <w:bookmarkEnd w:id="54"/>
      <w:bookmarkEnd w:id="55"/>
      <w:bookmarkEnd w:id="56"/>
      <w:bookmarkEnd w:id="57"/>
      <w:bookmarkEnd w:id="58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В </w:t>
      </w:r>
      <w:proofErr w:type="gramStart"/>
      <w:r w:rsidRPr="00E61DF3">
        <w:rPr>
          <w:sz w:val="24"/>
          <w:szCs w:val="24"/>
        </w:rPr>
        <w:t>рамках</w:t>
      </w:r>
      <w:proofErr w:type="gramEnd"/>
      <w:r w:rsidRPr="00E61DF3">
        <w:rPr>
          <w:sz w:val="24"/>
          <w:szCs w:val="24"/>
        </w:rPr>
        <w:t xml:space="preserve">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 xml:space="preserve">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3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3. Участники должны заполнить приведенную выше таблицу по всем позициям. В </w:t>
      </w:r>
      <w:proofErr w:type="gramStart"/>
      <w:r w:rsidRPr="00C275FE">
        <w:rPr>
          <w:sz w:val="22"/>
          <w:szCs w:val="22"/>
        </w:rPr>
        <w:t>случае</w:t>
      </w:r>
      <w:proofErr w:type="gramEnd"/>
      <w:r w:rsidRPr="00C275FE">
        <w:rPr>
          <w:sz w:val="22"/>
          <w:szCs w:val="22"/>
        </w:rPr>
        <w:t xml:space="preserve">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2E" w:rsidRDefault="002B4B2E" w:rsidP="00B768EC">
      <w:pPr>
        <w:spacing w:line="240" w:lineRule="auto"/>
      </w:pPr>
      <w:r>
        <w:separator/>
      </w:r>
    </w:p>
  </w:endnote>
  <w:endnote w:type="continuationSeparator" w:id="0">
    <w:p w:rsidR="002B4B2E" w:rsidRDefault="002B4B2E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AB21DB" w:rsidRDefault="00AB21D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2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21DB" w:rsidRDefault="00AB2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2E" w:rsidRDefault="002B4B2E" w:rsidP="00B768EC">
      <w:pPr>
        <w:spacing w:line="240" w:lineRule="auto"/>
      </w:pPr>
      <w:r>
        <w:separator/>
      </w:r>
    </w:p>
  </w:footnote>
  <w:footnote w:type="continuationSeparator" w:id="0">
    <w:p w:rsidR="002B4B2E" w:rsidRDefault="002B4B2E" w:rsidP="00B768EC">
      <w:pPr>
        <w:spacing w:line="240" w:lineRule="auto"/>
      </w:pPr>
      <w:r>
        <w:continuationSeparator/>
      </w:r>
    </w:p>
  </w:footnote>
  <w:footnote w:id="1">
    <w:p w:rsidR="00AB21DB" w:rsidRDefault="00AB21D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33"/>
  </w:num>
  <w:num w:numId="10">
    <w:abstractNumId w:val="15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32"/>
  </w:num>
  <w:num w:numId="17">
    <w:abstractNumId w:val="31"/>
  </w:num>
  <w:num w:numId="18">
    <w:abstractNumId w:val="1"/>
  </w:num>
  <w:num w:numId="19">
    <w:abstractNumId w:val="6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21"/>
  </w:num>
  <w:num w:numId="28">
    <w:abstractNumId w:val="7"/>
  </w:num>
  <w:num w:numId="29">
    <w:abstractNumId w:val="19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25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0F6C"/>
    <w:rsid w:val="000426B4"/>
    <w:rsid w:val="0004471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41E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1795B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4B2E"/>
    <w:rsid w:val="002B7ECB"/>
    <w:rsid w:val="002D5CD5"/>
    <w:rsid w:val="002D65C4"/>
    <w:rsid w:val="002E3DFA"/>
    <w:rsid w:val="002E7AB3"/>
    <w:rsid w:val="002E7E75"/>
    <w:rsid w:val="002F3080"/>
    <w:rsid w:val="003053AD"/>
    <w:rsid w:val="0030609F"/>
    <w:rsid w:val="00306FF0"/>
    <w:rsid w:val="00324D62"/>
    <w:rsid w:val="003312B1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3077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6F7FF9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C626B"/>
    <w:rsid w:val="007D0435"/>
    <w:rsid w:val="007D1EBB"/>
    <w:rsid w:val="007D3576"/>
    <w:rsid w:val="007E20D7"/>
    <w:rsid w:val="007E2CA5"/>
    <w:rsid w:val="007E3FAC"/>
    <w:rsid w:val="007E5852"/>
    <w:rsid w:val="007E61D9"/>
    <w:rsid w:val="007F2841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35FCB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21DB"/>
    <w:rsid w:val="00AB5CE9"/>
    <w:rsid w:val="00AB6108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5645"/>
    <w:rsid w:val="00B3665B"/>
    <w:rsid w:val="00B44113"/>
    <w:rsid w:val="00B45538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72FDF"/>
    <w:rsid w:val="00D870CC"/>
    <w:rsid w:val="00D94057"/>
    <w:rsid w:val="00DA2A2A"/>
    <w:rsid w:val="00DB0AA8"/>
    <w:rsid w:val="00DB67B0"/>
    <w:rsid w:val="00DC16DA"/>
    <w:rsid w:val="00DC747E"/>
    <w:rsid w:val="00DD077A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2174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B5652"/>
    <w:rsid w:val="00EC6998"/>
    <w:rsid w:val="00EC75A5"/>
    <w:rsid w:val="00EC7930"/>
    <w:rsid w:val="00ED30FB"/>
    <w:rsid w:val="00ED3682"/>
    <w:rsid w:val="00ED6180"/>
    <w:rsid w:val="00EE2D58"/>
    <w:rsid w:val="00EE369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37DBE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53A4"/>
    <w:rsid w:val="00F95FA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04E7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B4E7-577B-4E00-9EFB-F5E6E5CA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106</cp:revision>
  <cp:lastPrinted>2019-01-24T08:54:00Z</cp:lastPrinted>
  <dcterms:created xsi:type="dcterms:W3CDTF">2019-01-18T07:59:00Z</dcterms:created>
  <dcterms:modified xsi:type="dcterms:W3CDTF">2020-08-28T10:46:00Z</dcterms:modified>
</cp:coreProperties>
</file>