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25" w:rsidRPr="007438AF" w:rsidRDefault="002B6725" w:rsidP="007438AF">
      <w:pPr>
        <w:pStyle w:val="ad"/>
        <w:jc w:val="right"/>
      </w:pPr>
      <w:r w:rsidRPr="007438AF">
        <w:t>«УТВЕРЖДАЮ»</w:t>
      </w:r>
    </w:p>
    <w:p w:rsidR="002B6725" w:rsidRPr="007438AF" w:rsidRDefault="002B6725" w:rsidP="002B6725">
      <w:pPr>
        <w:pStyle w:val="ad"/>
        <w:jc w:val="right"/>
      </w:pPr>
      <w:r w:rsidRPr="007438AF">
        <w:t>Заместитель Генерального директора</w:t>
      </w:r>
    </w:p>
    <w:p w:rsidR="002B6725" w:rsidRPr="007438AF" w:rsidRDefault="002B6725" w:rsidP="002B6725">
      <w:pPr>
        <w:pStyle w:val="ad"/>
        <w:jc w:val="right"/>
      </w:pPr>
      <w:r w:rsidRPr="007438AF">
        <w:t xml:space="preserve"> по Финансам и стратегическому развитию</w:t>
      </w:r>
    </w:p>
    <w:p w:rsidR="002B6725" w:rsidRPr="007438AF" w:rsidRDefault="002B6725" w:rsidP="002B6725">
      <w:pPr>
        <w:pStyle w:val="ad"/>
        <w:jc w:val="right"/>
      </w:pPr>
      <w:r w:rsidRPr="007438AF">
        <w:t>АО «НИИМЭ»</w:t>
      </w:r>
    </w:p>
    <w:p w:rsidR="002B6725" w:rsidRPr="007438AF" w:rsidRDefault="002B6725" w:rsidP="002B6725">
      <w:pPr>
        <w:pStyle w:val="ad"/>
        <w:jc w:val="right"/>
      </w:pPr>
      <w:r w:rsidRPr="007438AF">
        <w:t>Половинко А.А.</w:t>
      </w:r>
    </w:p>
    <w:p w:rsidR="002B6725" w:rsidRPr="007438AF" w:rsidRDefault="002B6725" w:rsidP="002B6725">
      <w:pPr>
        <w:pStyle w:val="ad"/>
        <w:jc w:val="right"/>
      </w:pPr>
    </w:p>
    <w:p w:rsidR="002B6725" w:rsidRPr="007438AF" w:rsidRDefault="002B6725" w:rsidP="007438AF">
      <w:pPr>
        <w:pStyle w:val="ad"/>
      </w:pPr>
    </w:p>
    <w:p w:rsidR="002B6725" w:rsidRPr="007438AF" w:rsidRDefault="002B6725" w:rsidP="002B6725">
      <w:pPr>
        <w:pStyle w:val="ad"/>
        <w:jc w:val="right"/>
      </w:pPr>
      <w:r w:rsidRPr="007438AF">
        <w:rPr>
          <w:u w:val="single"/>
        </w:rPr>
        <w:t>«       »                      2020 г.</w:t>
      </w:r>
    </w:p>
    <w:p w:rsidR="002B6725" w:rsidRPr="007438AF" w:rsidRDefault="002B6725" w:rsidP="007438AF">
      <w:pPr>
        <w:spacing w:after="120" w:line="240" w:lineRule="auto"/>
        <w:rPr>
          <w:rFonts w:ascii="Times New Roman" w:hAnsi="Times New Roman"/>
          <w:b/>
          <w:sz w:val="24"/>
          <w:szCs w:val="24"/>
        </w:rPr>
      </w:pPr>
    </w:p>
    <w:p w:rsidR="002B6725" w:rsidRPr="007438AF" w:rsidRDefault="002B6725" w:rsidP="00EE7739">
      <w:pPr>
        <w:spacing w:after="120" w:line="240" w:lineRule="auto"/>
        <w:jc w:val="center"/>
        <w:rPr>
          <w:rFonts w:ascii="Times New Roman" w:hAnsi="Times New Roman"/>
          <w:b/>
          <w:sz w:val="24"/>
          <w:szCs w:val="24"/>
        </w:rPr>
      </w:pPr>
    </w:p>
    <w:p w:rsidR="006C4DBB" w:rsidRDefault="00AB74E3" w:rsidP="007438AF">
      <w:pPr>
        <w:spacing w:after="120" w:line="240" w:lineRule="auto"/>
        <w:jc w:val="center"/>
        <w:rPr>
          <w:rFonts w:ascii="Times New Roman" w:hAnsi="Times New Roman"/>
          <w:b/>
          <w:sz w:val="24"/>
          <w:szCs w:val="24"/>
        </w:rPr>
      </w:pPr>
      <w:r w:rsidRPr="007438AF">
        <w:rPr>
          <w:rFonts w:ascii="Times New Roman" w:hAnsi="Times New Roman"/>
          <w:b/>
          <w:sz w:val="24"/>
          <w:szCs w:val="24"/>
        </w:rPr>
        <w:t>Техническое з</w:t>
      </w:r>
      <w:r w:rsidR="008E1F1B" w:rsidRPr="007438AF">
        <w:rPr>
          <w:rFonts w:ascii="Times New Roman" w:hAnsi="Times New Roman"/>
          <w:b/>
          <w:sz w:val="24"/>
          <w:szCs w:val="24"/>
        </w:rPr>
        <w:t>адание</w:t>
      </w:r>
      <w:bookmarkStart w:id="0" w:name="_GoBack"/>
      <w:bookmarkEnd w:id="0"/>
    </w:p>
    <w:p w:rsidR="00EB0930" w:rsidRPr="007438AF" w:rsidRDefault="00EB0930" w:rsidP="007438AF">
      <w:pPr>
        <w:spacing w:after="120" w:line="240" w:lineRule="auto"/>
        <w:jc w:val="center"/>
        <w:rPr>
          <w:rFonts w:ascii="Times New Roman" w:hAnsi="Times New Roman"/>
          <w:b/>
          <w:sz w:val="24"/>
          <w:szCs w:val="24"/>
        </w:rPr>
      </w:pPr>
      <w:r>
        <w:rPr>
          <w:rFonts w:ascii="Times New Roman" w:hAnsi="Times New Roman"/>
          <w:b/>
          <w:sz w:val="24"/>
          <w:szCs w:val="24"/>
        </w:rPr>
        <w:t>на оценку нежилого здания</w:t>
      </w:r>
    </w:p>
    <w:tbl>
      <w:tblPr>
        <w:tblStyle w:val="a5"/>
        <w:tblW w:w="9493" w:type="dxa"/>
        <w:jc w:val="center"/>
        <w:tblLayout w:type="fixed"/>
        <w:tblLook w:val="04A0" w:firstRow="1" w:lastRow="0" w:firstColumn="1" w:lastColumn="0" w:noHBand="0" w:noVBand="1"/>
      </w:tblPr>
      <w:tblGrid>
        <w:gridCol w:w="3397"/>
        <w:gridCol w:w="6096"/>
      </w:tblGrid>
      <w:tr w:rsidR="00EE7359" w:rsidRPr="007438AF" w:rsidTr="002B6725">
        <w:trPr>
          <w:cantSplit/>
          <w:trHeight w:val="718"/>
          <w:jc w:val="center"/>
        </w:trPr>
        <w:tc>
          <w:tcPr>
            <w:tcW w:w="3397" w:type="dxa"/>
            <w:vAlign w:val="center"/>
          </w:tcPr>
          <w:p w:rsidR="00EE7359" w:rsidRPr="007438AF" w:rsidRDefault="002B6725" w:rsidP="006C4DBB">
            <w:pPr>
              <w:pStyle w:val="a6"/>
              <w:tabs>
                <w:tab w:val="left" w:leader="underscore" w:pos="2240"/>
                <w:tab w:val="left" w:leader="underscore" w:pos="5320"/>
              </w:tabs>
              <w:spacing w:after="0" w:line="228" w:lineRule="auto"/>
              <w:ind w:right="417"/>
            </w:pPr>
            <w:r w:rsidRPr="007438AF">
              <w:t xml:space="preserve">Заказчик </w:t>
            </w:r>
          </w:p>
        </w:tc>
        <w:tc>
          <w:tcPr>
            <w:tcW w:w="6096" w:type="dxa"/>
            <w:vAlign w:val="center"/>
          </w:tcPr>
          <w:p w:rsidR="006C4DBB" w:rsidRPr="007438AF" w:rsidRDefault="002B6725" w:rsidP="002B6725">
            <w:pPr>
              <w:pStyle w:val="a6"/>
              <w:tabs>
                <w:tab w:val="left" w:leader="underscore" w:pos="2240"/>
                <w:tab w:val="left" w:leader="underscore" w:pos="5320"/>
              </w:tabs>
              <w:spacing w:line="228" w:lineRule="auto"/>
              <w:ind w:right="420"/>
            </w:pPr>
            <w:r w:rsidRPr="007438AF">
              <w:t>Акционерное общество «Научно-исследовательский институт молекулярной электроники»   (АО «НИИМЭ»)</w:t>
            </w:r>
          </w:p>
        </w:tc>
      </w:tr>
      <w:tr w:rsidR="002B6725" w:rsidRPr="007438AF" w:rsidTr="00D9453A">
        <w:trPr>
          <w:cantSplit/>
          <w:trHeight w:val="864"/>
          <w:jc w:val="center"/>
        </w:trPr>
        <w:tc>
          <w:tcPr>
            <w:tcW w:w="3397" w:type="dxa"/>
            <w:vAlign w:val="center"/>
          </w:tcPr>
          <w:p w:rsidR="002B6725" w:rsidRPr="007438AF" w:rsidRDefault="002B6725" w:rsidP="001E7D58">
            <w:pPr>
              <w:pStyle w:val="a6"/>
              <w:tabs>
                <w:tab w:val="left" w:leader="underscore" w:pos="2240"/>
                <w:tab w:val="left" w:leader="underscore" w:pos="5320"/>
              </w:tabs>
              <w:spacing w:after="0" w:line="228" w:lineRule="auto"/>
              <w:ind w:right="417"/>
            </w:pPr>
            <w:r w:rsidRPr="007438AF">
              <w:t>Объект оценки</w:t>
            </w:r>
          </w:p>
        </w:tc>
        <w:tc>
          <w:tcPr>
            <w:tcW w:w="6096" w:type="dxa"/>
            <w:vAlign w:val="center"/>
          </w:tcPr>
          <w:p w:rsidR="002B6725" w:rsidRPr="007438AF" w:rsidRDefault="002B6725" w:rsidP="002B6725">
            <w:pPr>
              <w:pStyle w:val="a6"/>
              <w:tabs>
                <w:tab w:val="left" w:leader="underscore" w:pos="2240"/>
                <w:tab w:val="left" w:leader="underscore" w:pos="5320"/>
              </w:tabs>
              <w:spacing w:line="228" w:lineRule="auto"/>
              <w:ind w:right="420"/>
            </w:pPr>
            <w:r w:rsidRPr="007438AF">
              <w:t xml:space="preserve">Нежилое здание, площадь </w:t>
            </w:r>
            <w:r w:rsidRPr="007438AF">
              <w:rPr>
                <w:color w:val="000000"/>
              </w:rPr>
              <w:t xml:space="preserve">11693,4 </w:t>
            </w:r>
            <w:proofErr w:type="spellStart"/>
            <w:r w:rsidRPr="007438AF">
              <w:rPr>
                <w:color w:val="000000"/>
              </w:rPr>
              <w:t>кв</w:t>
            </w:r>
            <w:proofErr w:type="gramStart"/>
            <w:r w:rsidRPr="007438AF">
              <w:rPr>
                <w:color w:val="000000"/>
              </w:rPr>
              <w:t>.м</w:t>
            </w:r>
            <w:proofErr w:type="spellEnd"/>
            <w:proofErr w:type="gramEnd"/>
            <w:r w:rsidRPr="007438AF">
              <w:rPr>
                <w:color w:val="000000"/>
              </w:rPr>
              <w:t xml:space="preserve">, кадастровый номер: </w:t>
            </w:r>
            <w:r w:rsidRPr="007438AF">
              <w:rPr>
                <w:bCs/>
                <w:color w:val="000000"/>
              </w:rPr>
              <w:t xml:space="preserve">77:10:0003009:1065, </w:t>
            </w:r>
            <w:r w:rsidRPr="007438AF">
              <w:t xml:space="preserve">адрес (местоположение): г. </w:t>
            </w:r>
            <w:r w:rsidRPr="007438AF">
              <w:rPr>
                <w:color w:val="000000"/>
              </w:rPr>
              <w:t>Москва, р-н Матушкино, ул. Академика Валиева, д. 6, стр. 1</w:t>
            </w:r>
          </w:p>
        </w:tc>
      </w:tr>
      <w:tr w:rsidR="002B6725" w:rsidRPr="007438AF" w:rsidTr="00D9453A">
        <w:trPr>
          <w:cantSplit/>
          <w:trHeight w:val="421"/>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rPr>
                <w:color w:val="000000"/>
              </w:rPr>
              <w:t>Имущественные права</w:t>
            </w:r>
          </w:p>
        </w:tc>
        <w:tc>
          <w:tcPr>
            <w:tcW w:w="6096" w:type="dxa"/>
            <w:vAlign w:val="center"/>
          </w:tcPr>
          <w:p w:rsidR="002B6725" w:rsidRPr="007438AF" w:rsidRDefault="002B6725" w:rsidP="00AB74E3">
            <w:pPr>
              <w:pStyle w:val="a6"/>
              <w:tabs>
                <w:tab w:val="left" w:leader="underscore" w:pos="2240"/>
                <w:tab w:val="left" w:leader="underscore" w:pos="5320"/>
              </w:tabs>
              <w:spacing w:after="0" w:line="228" w:lineRule="auto"/>
              <w:ind w:right="417"/>
            </w:pPr>
            <w:r w:rsidRPr="007438AF">
              <w:t>Принадлежит на праве собственности ОАО «НИИМЭ»</w:t>
            </w:r>
          </w:p>
        </w:tc>
      </w:tr>
      <w:tr w:rsidR="002B6725" w:rsidRPr="007438AF" w:rsidTr="00D9453A">
        <w:trPr>
          <w:cantSplit/>
          <w:trHeight w:val="1398"/>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rPr>
                <w:color w:val="000000"/>
              </w:rPr>
              <w:t>Права на объект оценки, учитываемые при определении стоимости объекта оценки, ограничения (обременения) этих прав</w:t>
            </w:r>
          </w:p>
        </w:tc>
        <w:tc>
          <w:tcPr>
            <w:tcW w:w="6096" w:type="dxa"/>
            <w:vAlign w:val="center"/>
          </w:tcPr>
          <w:p w:rsidR="002B6725" w:rsidRPr="007438AF" w:rsidRDefault="002B6725" w:rsidP="00AB74E3">
            <w:pPr>
              <w:tabs>
                <w:tab w:val="left" w:pos="391"/>
              </w:tabs>
              <w:spacing w:after="0" w:line="240" w:lineRule="auto"/>
              <w:contextualSpacing/>
              <w:rPr>
                <w:rFonts w:ascii="Times New Roman" w:hAnsi="Times New Roman"/>
                <w:sz w:val="24"/>
                <w:szCs w:val="24"/>
              </w:rPr>
            </w:pPr>
            <w:r w:rsidRPr="007438AF">
              <w:rPr>
                <w:rFonts w:ascii="Times New Roman" w:hAnsi="Times New Roman"/>
                <w:sz w:val="24"/>
                <w:szCs w:val="24"/>
              </w:rPr>
              <w:t>Право собственности.</w:t>
            </w:r>
          </w:p>
          <w:p w:rsidR="002B6725" w:rsidRPr="007438AF" w:rsidRDefault="002B6725" w:rsidP="00B97158">
            <w:pPr>
              <w:pStyle w:val="a6"/>
              <w:tabs>
                <w:tab w:val="left" w:leader="underscore" w:pos="2240"/>
                <w:tab w:val="left" w:leader="underscore" w:pos="5320"/>
              </w:tabs>
              <w:spacing w:after="0"/>
              <w:ind w:right="417"/>
            </w:pPr>
            <w:r w:rsidRPr="007438AF">
              <w:t>Ограничения, обременения: аренда.</w:t>
            </w:r>
          </w:p>
        </w:tc>
      </w:tr>
      <w:tr w:rsidR="002B6725" w:rsidRPr="007438AF" w:rsidTr="00D9453A">
        <w:trPr>
          <w:cantSplit/>
          <w:trHeight w:val="452"/>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Цель оценки</w:t>
            </w:r>
          </w:p>
        </w:tc>
        <w:tc>
          <w:tcPr>
            <w:tcW w:w="6096"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Определение рыночной стоимости</w:t>
            </w:r>
          </w:p>
        </w:tc>
      </w:tr>
      <w:tr w:rsidR="002B6725" w:rsidRPr="007438AF" w:rsidTr="00D9453A">
        <w:trPr>
          <w:cantSplit/>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Предполагаемое использование результатов оценки</w:t>
            </w:r>
          </w:p>
        </w:tc>
        <w:tc>
          <w:tcPr>
            <w:tcW w:w="6096" w:type="dxa"/>
            <w:vAlign w:val="center"/>
          </w:tcPr>
          <w:p w:rsidR="002B6725" w:rsidRPr="007438AF" w:rsidRDefault="002B6725" w:rsidP="006C4DBB">
            <w:pPr>
              <w:pStyle w:val="a6"/>
              <w:tabs>
                <w:tab w:val="left" w:leader="underscore" w:pos="2240"/>
                <w:tab w:val="left" w:leader="underscore" w:pos="5320"/>
              </w:tabs>
              <w:spacing w:after="0" w:line="228" w:lineRule="auto"/>
              <w:ind w:right="417"/>
            </w:pPr>
            <w:r w:rsidRPr="007438AF">
              <w:rPr>
                <w:color w:val="000000"/>
              </w:rPr>
              <w:t>Для целей обеспечения кредита</w:t>
            </w:r>
          </w:p>
        </w:tc>
      </w:tr>
      <w:tr w:rsidR="002B6725" w:rsidRPr="007438AF" w:rsidTr="00D9453A">
        <w:trPr>
          <w:cantSplit/>
          <w:trHeight w:val="327"/>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Вид стоимости</w:t>
            </w:r>
          </w:p>
        </w:tc>
        <w:tc>
          <w:tcPr>
            <w:tcW w:w="6096"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Рыночная</w:t>
            </w:r>
          </w:p>
        </w:tc>
      </w:tr>
      <w:tr w:rsidR="002B6725" w:rsidRPr="007438AF" w:rsidTr="00D9453A">
        <w:trPr>
          <w:cantSplit/>
          <w:trHeight w:val="339"/>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Дата оценки</w:t>
            </w:r>
          </w:p>
        </w:tc>
        <w:tc>
          <w:tcPr>
            <w:tcW w:w="6096"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По состоянию на дату подписания Договора на оценку</w:t>
            </w:r>
          </w:p>
        </w:tc>
      </w:tr>
      <w:tr w:rsidR="002B6725" w:rsidRPr="007438AF" w:rsidTr="00D9453A">
        <w:trPr>
          <w:cantSplit/>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Особенности проведения осмотра</w:t>
            </w:r>
          </w:p>
        </w:tc>
        <w:tc>
          <w:tcPr>
            <w:tcW w:w="6096"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t>Полный осмотр</w:t>
            </w:r>
          </w:p>
        </w:tc>
      </w:tr>
      <w:tr w:rsidR="002B6725" w:rsidRPr="007438AF" w:rsidTr="00D9453A">
        <w:trPr>
          <w:cantSplit/>
          <w:jc w:val="center"/>
        </w:trPr>
        <w:tc>
          <w:tcPr>
            <w:tcW w:w="3397" w:type="dxa"/>
            <w:vAlign w:val="center"/>
          </w:tcPr>
          <w:p w:rsidR="002B6725" w:rsidRPr="007438AF" w:rsidRDefault="002B6725" w:rsidP="00E04424">
            <w:pPr>
              <w:pStyle w:val="a6"/>
              <w:tabs>
                <w:tab w:val="left" w:leader="underscore" w:pos="2240"/>
                <w:tab w:val="left" w:leader="underscore" w:pos="5320"/>
              </w:tabs>
              <w:spacing w:after="0" w:line="228" w:lineRule="auto"/>
              <w:ind w:right="417"/>
            </w:pPr>
            <w:r w:rsidRPr="007438AF">
              <w:lastRenderedPageBreak/>
              <w:t>Предоставляемые документы, необходимые для оценки недвижимого имущества</w:t>
            </w:r>
          </w:p>
        </w:tc>
        <w:tc>
          <w:tcPr>
            <w:tcW w:w="6096" w:type="dxa"/>
            <w:vAlign w:val="center"/>
          </w:tcPr>
          <w:p w:rsidR="002B6725" w:rsidRPr="007438AF" w:rsidRDefault="002B6725" w:rsidP="002B6725">
            <w:pPr>
              <w:pStyle w:val="a3"/>
              <w:numPr>
                <w:ilvl w:val="0"/>
                <w:numId w:val="7"/>
              </w:numPr>
              <w:spacing w:before="60" w:after="0" w:line="259" w:lineRule="auto"/>
              <w:ind w:left="0" w:firstLine="0"/>
              <w:contextualSpacing w:val="0"/>
              <w:jc w:val="both"/>
              <w:rPr>
                <w:rFonts w:ascii="Times New Roman" w:hAnsi="Times New Roman"/>
                <w:b/>
                <w:sz w:val="24"/>
                <w:szCs w:val="24"/>
              </w:rPr>
            </w:pPr>
            <w:r w:rsidRPr="007438AF">
              <w:rPr>
                <w:rFonts w:ascii="Times New Roman" w:hAnsi="Times New Roman"/>
                <w:b/>
                <w:sz w:val="24"/>
                <w:szCs w:val="24"/>
              </w:rPr>
              <w:t>Правоустанавливающие документы на оцениваемый объект:</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Выписка из ЕГРН, включающая сведения о правообладателе и наличии обременений.</w:t>
            </w:r>
          </w:p>
          <w:p w:rsidR="002B6725" w:rsidRPr="007438AF" w:rsidRDefault="002B6725" w:rsidP="002B6725">
            <w:pPr>
              <w:pStyle w:val="a3"/>
              <w:numPr>
                <w:ilvl w:val="0"/>
                <w:numId w:val="7"/>
              </w:numPr>
              <w:spacing w:before="60" w:after="0" w:line="259" w:lineRule="auto"/>
              <w:ind w:left="0" w:firstLine="0"/>
              <w:contextualSpacing w:val="0"/>
              <w:jc w:val="both"/>
              <w:rPr>
                <w:rFonts w:ascii="Times New Roman" w:hAnsi="Times New Roman"/>
                <w:b/>
                <w:sz w:val="24"/>
                <w:szCs w:val="24"/>
              </w:rPr>
            </w:pPr>
            <w:proofErr w:type="gramStart"/>
            <w:r w:rsidRPr="007438AF">
              <w:rPr>
                <w:rFonts w:ascii="Times New Roman" w:hAnsi="Times New Roman"/>
                <w:b/>
                <w:sz w:val="24"/>
                <w:szCs w:val="24"/>
              </w:rPr>
              <w:t>Документы</w:t>
            </w:r>
            <w:proofErr w:type="gramEnd"/>
            <w:r w:rsidRPr="007438AF">
              <w:rPr>
                <w:rFonts w:ascii="Times New Roman" w:hAnsi="Times New Roman"/>
                <w:b/>
                <w:sz w:val="24"/>
                <w:szCs w:val="24"/>
              </w:rPr>
              <w:t xml:space="preserve"> характеризующие объемно-планировочные параметры объекта оценки:</w:t>
            </w:r>
            <w:r w:rsidRPr="007438AF">
              <w:rPr>
                <w:rStyle w:val="ac"/>
                <w:rFonts w:ascii="Times New Roman" w:hAnsi="Times New Roman"/>
                <w:b/>
                <w:sz w:val="24"/>
                <w:szCs w:val="24"/>
              </w:rPr>
              <w:footnoteReference w:id="1"/>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Технический паспорт;</w:t>
            </w:r>
          </w:p>
          <w:p w:rsidR="002B6725" w:rsidRPr="007438AF" w:rsidRDefault="002B6725" w:rsidP="002B6725">
            <w:pPr>
              <w:pStyle w:val="a3"/>
              <w:numPr>
                <w:ilvl w:val="0"/>
                <w:numId w:val="7"/>
              </w:numPr>
              <w:spacing w:before="60" w:after="0" w:line="259" w:lineRule="auto"/>
              <w:ind w:left="0" w:firstLine="0"/>
              <w:contextualSpacing w:val="0"/>
              <w:jc w:val="both"/>
              <w:rPr>
                <w:rFonts w:ascii="Times New Roman" w:hAnsi="Times New Roman"/>
                <w:b/>
                <w:sz w:val="24"/>
                <w:szCs w:val="24"/>
              </w:rPr>
            </w:pPr>
            <w:r w:rsidRPr="007438AF">
              <w:rPr>
                <w:rFonts w:ascii="Times New Roman" w:hAnsi="Times New Roman"/>
                <w:b/>
                <w:sz w:val="24"/>
                <w:szCs w:val="24"/>
              </w:rPr>
              <w:t>Прочее:</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Справка о первоначальной и остаточной балансовой стоимости здания (если собственником является юридическое лицо);</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Информация о наличие перепланировки (при наличии);</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Разрешение на перепланировку (если производилась);</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Сведения об эксплуатационных расходах, о расходах на проведение ремонтов, реконструкции (при наличии);</w:t>
            </w:r>
          </w:p>
          <w:p w:rsidR="002B6725" w:rsidRPr="007438AF" w:rsidRDefault="002B6725" w:rsidP="002B6725">
            <w:pPr>
              <w:numPr>
                <w:ilvl w:val="0"/>
                <w:numId w:val="7"/>
              </w:numPr>
              <w:tabs>
                <w:tab w:val="num" w:pos="720"/>
              </w:tabs>
              <w:spacing w:before="60" w:after="0" w:line="240" w:lineRule="atLeast"/>
              <w:ind w:left="0" w:firstLine="0"/>
              <w:jc w:val="both"/>
              <w:textAlignment w:val="baseline"/>
              <w:rPr>
                <w:rFonts w:ascii="Times New Roman" w:hAnsi="Times New Roman"/>
                <w:b/>
                <w:sz w:val="24"/>
                <w:szCs w:val="24"/>
              </w:rPr>
            </w:pPr>
            <w:r w:rsidRPr="007438AF">
              <w:rPr>
                <w:rFonts w:ascii="Times New Roman" w:hAnsi="Times New Roman"/>
                <w:b/>
                <w:sz w:val="24"/>
                <w:szCs w:val="24"/>
              </w:rPr>
              <w:t>Документы на земельный участок, расположенный под оцениваемым объектом:</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Правоустанавливающий документ (если арендуется – договор аренды, если в собственности – выписка из ЕГРН).</w:t>
            </w:r>
          </w:p>
          <w:p w:rsidR="002B6725" w:rsidRPr="007438AF" w:rsidRDefault="002B6725" w:rsidP="002B6725">
            <w:pPr>
              <w:numPr>
                <w:ilvl w:val="0"/>
                <w:numId w:val="8"/>
              </w:numPr>
              <w:tabs>
                <w:tab w:val="num" w:pos="720"/>
              </w:tabs>
              <w:spacing w:after="0" w:line="240" w:lineRule="atLeast"/>
              <w:ind w:left="993" w:hanging="284"/>
              <w:jc w:val="both"/>
              <w:textAlignment w:val="baseline"/>
              <w:rPr>
                <w:rFonts w:ascii="Times New Roman" w:eastAsia="Times New Roman" w:hAnsi="Times New Roman"/>
                <w:color w:val="333333"/>
                <w:sz w:val="24"/>
                <w:szCs w:val="24"/>
              </w:rPr>
            </w:pPr>
            <w:r w:rsidRPr="007438AF">
              <w:rPr>
                <w:rFonts w:ascii="Times New Roman" w:eastAsia="Times New Roman" w:hAnsi="Times New Roman"/>
                <w:color w:val="333333"/>
                <w:sz w:val="24"/>
                <w:szCs w:val="24"/>
              </w:rPr>
              <w:t>Кадастровый паспорт земельного участка.</w:t>
            </w:r>
          </w:p>
          <w:p w:rsidR="002B6725" w:rsidRPr="007438AF" w:rsidRDefault="002B6725" w:rsidP="00E04424">
            <w:pPr>
              <w:pStyle w:val="a6"/>
              <w:tabs>
                <w:tab w:val="left" w:leader="underscore" w:pos="2240"/>
                <w:tab w:val="left" w:leader="underscore" w:pos="5320"/>
              </w:tabs>
              <w:spacing w:after="0" w:line="228" w:lineRule="auto"/>
              <w:ind w:right="417"/>
            </w:pPr>
          </w:p>
        </w:tc>
      </w:tr>
    </w:tbl>
    <w:p w:rsidR="002B6725" w:rsidRPr="007438AF" w:rsidRDefault="002B6725" w:rsidP="002B6725">
      <w:pPr>
        <w:rPr>
          <w:rFonts w:ascii="Times New Roman" w:hAnsi="Times New Roman"/>
          <w:sz w:val="24"/>
          <w:szCs w:val="24"/>
        </w:rPr>
      </w:pPr>
    </w:p>
    <w:p w:rsidR="002B6725" w:rsidRPr="007438AF" w:rsidRDefault="002B6725" w:rsidP="002B6725">
      <w:pPr>
        <w:tabs>
          <w:tab w:val="left" w:pos="1680"/>
        </w:tabs>
        <w:rPr>
          <w:rFonts w:ascii="Times New Roman" w:hAnsi="Times New Roman"/>
          <w:sz w:val="24"/>
          <w:szCs w:val="24"/>
        </w:rPr>
      </w:pPr>
      <w:r w:rsidRPr="007438AF">
        <w:rPr>
          <w:rFonts w:ascii="Times New Roman" w:hAnsi="Times New Roman"/>
          <w:sz w:val="24"/>
          <w:szCs w:val="24"/>
        </w:rPr>
        <w:t>Подготовлено: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725" w:rsidRPr="007438AF" w:rsidTr="002B6725">
        <w:tc>
          <w:tcPr>
            <w:tcW w:w="4785" w:type="dxa"/>
          </w:tcPr>
          <w:p w:rsidR="002B6725" w:rsidRPr="007438AF" w:rsidRDefault="002B6725" w:rsidP="002B6725">
            <w:pPr>
              <w:tabs>
                <w:tab w:val="left" w:pos="1680"/>
              </w:tabs>
              <w:rPr>
                <w:rFonts w:ascii="Times New Roman" w:hAnsi="Times New Roman"/>
                <w:sz w:val="24"/>
                <w:szCs w:val="24"/>
              </w:rPr>
            </w:pPr>
            <w:r w:rsidRPr="007438AF">
              <w:rPr>
                <w:rFonts w:ascii="Times New Roman" w:hAnsi="Times New Roman"/>
                <w:sz w:val="24"/>
                <w:szCs w:val="24"/>
              </w:rPr>
              <w:t>Начальник отдела Казначейство</w:t>
            </w:r>
          </w:p>
        </w:tc>
        <w:tc>
          <w:tcPr>
            <w:tcW w:w="4786" w:type="dxa"/>
          </w:tcPr>
          <w:p w:rsidR="002B6725" w:rsidRPr="007438AF" w:rsidRDefault="002B6725" w:rsidP="002B6725">
            <w:pPr>
              <w:tabs>
                <w:tab w:val="left" w:pos="1680"/>
              </w:tabs>
              <w:jc w:val="right"/>
              <w:rPr>
                <w:rFonts w:ascii="Times New Roman" w:hAnsi="Times New Roman"/>
                <w:sz w:val="24"/>
                <w:szCs w:val="24"/>
              </w:rPr>
            </w:pPr>
            <w:r w:rsidRPr="007438AF">
              <w:rPr>
                <w:rFonts w:ascii="Times New Roman" w:hAnsi="Times New Roman"/>
                <w:sz w:val="24"/>
                <w:szCs w:val="24"/>
              </w:rPr>
              <w:t>Обеднина О.Н.</w:t>
            </w:r>
          </w:p>
        </w:tc>
      </w:tr>
    </w:tbl>
    <w:p w:rsidR="002B6725" w:rsidRPr="007438AF" w:rsidRDefault="002B6725" w:rsidP="002B6725">
      <w:pPr>
        <w:tabs>
          <w:tab w:val="left" w:pos="1680"/>
        </w:tabs>
        <w:rPr>
          <w:rFonts w:ascii="Times New Roman" w:hAnsi="Times New Roman"/>
          <w:sz w:val="24"/>
          <w:szCs w:val="24"/>
        </w:rPr>
      </w:pPr>
    </w:p>
    <w:sectPr w:rsidR="002B6725" w:rsidRPr="007438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16" w:rsidRDefault="00584C16" w:rsidP="0098749F">
      <w:pPr>
        <w:spacing w:after="0" w:line="240" w:lineRule="auto"/>
      </w:pPr>
      <w:r>
        <w:separator/>
      </w:r>
    </w:p>
  </w:endnote>
  <w:endnote w:type="continuationSeparator" w:id="0">
    <w:p w:rsidR="00584C16" w:rsidRDefault="00584C16" w:rsidP="0098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16" w:rsidRDefault="00584C16" w:rsidP="0098749F">
      <w:pPr>
        <w:spacing w:after="0" w:line="240" w:lineRule="auto"/>
      </w:pPr>
      <w:r>
        <w:separator/>
      </w:r>
    </w:p>
  </w:footnote>
  <w:footnote w:type="continuationSeparator" w:id="0">
    <w:p w:rsidR="00584C16" w:rsidRDefault="00584C16" w:rsidP="0098749F">
      <w:pPr>
        <w:spacing w:after="0" w:line="240" w:lineRule="auto"/>
      </w:pPr>
      <w:r>
        <w:continuationSeparator/>
      </w:r>
    </w:p>
  </w:footnote>
  <w:footnote w:id="1">
    <w:p w:rsidR="002B6725" w:rsidRDefault="002B6725" w:rsidP="002B672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0F5"/>
    <w:multiLevelType w:val="hybridMultilevel"/>
    <w:tmpl w:val="66C0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C0ADB"/>
    <w:multiLevelType w:val="hybridMultilevel"/>
    <w:tmpl w:val="6BC26A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0081DD7"/>
    <w:multiLevelType w:val="hybridMultilevel"/>
    <w:tmpl w:val="F17824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2A2654"/>
    <w:multiLevelType w:val="hybridMultilevel"/>
    <w:tmpl w:val="EA28A686"/>
    <w:lvl w:ilvl="0" w:tplc="13CE404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77D68"/>
    <w:multiLevelType w:val="hybridMultilevel"/>
    <w:tmpl w:val="B7501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E2B47"/>
    <w:multiLevelType w:val="hybridMultilevel"/>
    <w:tmpl w:val="25EAD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A25CBD"/>
    <w:multiLevelType w:val="hybridMultilevel"/>
    <w:tmpl w:val="1A9E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564AE"/>
    <w:multiLevelType w:val="hybridMultilevel"/>
    <w:tmpl w:val="8110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34BD7"/>
    <w:multiLevelType w:val="hybridMultilevel"/>
    <w:tmpl w:val="2CB80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E04A11"/>
    <w:multiLevelType w:val="hybridMultilevel"/>
    <w:tmpl w:val="4F864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553FD"/>
    <w:multiLevelType w:val="hybridMultilevel"/>
    <w:tmpl w:val="BD24A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7EC7782"/>
    <w:multiLevelType w:val="hybridMultilevel"/>
    <w:tmpl w:val="54B6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num>
  <w:num w:numId="5">
    <w:abstractNumId w:val="11"/>
  </w:num>
  <w:num w:numId="6">
    <w:abstractNumId w:val="0"/>
  </w:num>
  <w:num w:numId="7">
    <w:abstractNumId w:val="3"/>
  </w:num>
  <w:num w:numId="8">
    <w:abstractNumId w:val="1"/>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72"/>
    <w:rsid w:val="00024EAC"/>
    <w:rsid w:val="00205701"/>
    <w:rsid w:val="00206617"/>
    <w:rsid w:val="002B6725"/>
    <w:rsid w:val="002D7CDF"/>
    <w:rsid w:val="002E7C93"/>
    <w:rsid w:val="002F6872"/>
    <w:rsid w:val="004077A1"/>
    <w:rsid w:val="004B5B92"/>
    <w:rsid w:val="004C516D"/>
    <w:rsid w:val="004D0771"/>
    <w:rsid w:val="004E4057"/>
    <w:rsid w:val="005149E4"/>
    <w:rsid w:val="00584C16"/>
    <w:rsid w:val="005F4074"/>
    <w:rsid w:val="006C4DBB"/>
    <w:rsid w:val="006F20C8"/>
    <w:rsid w:val="007438AF"/>
    <w:rsid w:val="00754419"/>
    <w:rsid w:val="008E1F1B"/>
    <w:rsid w:val="0095612B"/>
    <w:rsid w:val="0098749F"/>
    <w:rsid w:val="00A074D2"/>
    <w:rsid w:val="00AB74E3"/>
    <w:rsid w:val="00AC1C69"/>
    <w:rsid w:val="00AE7068"/>
    <w:rsid w:val="00AE7FBD"/>
    <w:rsid w:val="00B662DA"/>
    <w:rsid w:val="00B97158"/>
    <w:rsid w:val="00BB5DAC"/>
    <w:rsid w:val="00C3087B"/>
    <w:rsid w:val="00C6375F"/>
    <w:rsid w:val="00D04095"/>
    <w:rsid w:val="00D66258"/>
    <w:rsid w:val="00D76CA3"/>
    <w:rsid w:val="00D9453A"/>
    <w:rsid w:val="00E04424"/>
    <w:rsid w:val="00E601FF"/>
    <w:rsid w:val="00EB0930"/>
    <w:rsid w:val="00EE7359"/>
    <w:rsid w:val="00EE7739"/>
    <w:rsid w:val="00F4370B"/>
    <w:rsid w:val="00F62546"/>
    <w:rsid w:val="00FD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L,Абзац маркированнный"/>
    <w:basedOn w:val="a"/>
    <w:link w:val="a4"/>
    <w:uiPriority w:val="34"/>
    <w:qFormat/>
    <w:rsid w:val="008E1F1B"/>
    <w:pPr>
      <w:ind w:left="720"/>
      <w:contextualSpacing/>
    </w:pPr>
  </w:style>
  <w:style w:type="table" w:styleId="a5">
    <w:name w:val="Table Grid"/>
    <w:aliases w:val="Сетка таблицы-Кунгур,Сетка таблицы-рыбинск,РСХБ"/>
    <w:basedOn w:val="a1"/>
    <w:uiPriority w:val="59"/>
    <w:rsid w:val="008E1F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
    <w:link w:val="a3"/>
    <w:uiPriority w:val="34"/>
    <w:locked/>
    <w:rsid w:val="008E1F1B"/>
    <w:rPr>
      <w:rFonts w:ascii="Calibri" w:eastAsia="Calibri" w:hAnsi="Calibri" w:cs="Times New Roman"/>
    </w:rPr>
  </w:style>
  <w:style w:type="paragraph" w:customStyle="1" w:styleId="Default">
    <w:name w:val="Default"/>
    <w:rsid w:val="00024E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aliases w:val="отступ 3пт,heading3,Body Text - Level 2,текст таблицы,Подпись1"/>
    <w:basedOn w:val="a"/>
    <w:link w:val="a7"/>
    <w:unhideWhenUsed/>
    <w:rsid w:val="00AE7FBD"/>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отступ 3пт Знак,heading3 Знак,Body Text - Level 2 Знак,текст таблицы Знак,Подпись1 Знак"/>
    <w:basedOn w:val="a0"/>
    <w:link w:val="a6"/>
    <w:rsid w:val="00AE7FBD"/>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EE7359"/>
    <w:pPr>
      <w:spacing w:after="160" w:line="240" w:lineRule="auto"/>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rsid w:val="00EE7359"/>
    <w:rPr>
      <w:sz w:val="20"/>
      <w:szCs w:val="20"/>
    </w:rPr>
  </w:style>
  <w:style w:type="paragraph" w:styleId="2">
    <w:name w:val="Body Text 2"/>
    <w:basedOn w:val="a"/>
    <w:link w:val="20"/>
    <w:uiPriority w:val="99"/>
    <w:unhideWhenUsed/>
    <w:rsid w:val="00EE7359"/>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EE7359"/>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b"/>
    <w:uiPriority w:val="99"/>
    <w:unhideWhenUsed/>
    <w:qFormat/>
    <w:rsid w:val="0098749F"/>
    <w:pPr>
      <w:widowControl w:val="0"/>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a"/>
    <w:uiPriority w:val="99"/>
    <w:rsid w:val="0098749F"/>
    <w:rPr>
      <w:rFonts w:ascii="Times New Roman" w:eastAsia="Times New Roman" w:hAnsi="Times New Roman" w:cs="Times New Roman"/>
      <w:kern w:val="24"/>
      <w:sz w:val="20"/>
      <w:szCs w:val="20"/>
      <w:lang w:eastAsia="ru-RU"/>
    </w:rPr>
  </w:style>
  <w:style w:type="character" w:styleId="a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98749F"/>
    <w:rPr>
      <w:vertAlign w:val="superscript"/>
    </w:rPr>
  </w:style>
  <w:style w:type="paragraph" w:styleId="ad">
    <w:name w:val="No Spacing"/>
    <w:uiPriority w:val="1"/>
    <w:qFormat/>
    <w:rsid w:val="002B672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1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L,Абзац маркированнный"/>
    <w:basedOn w:val="a"/>
    <w:link w:val="a4"/>
    <w:uiPriority w:val="34"/>
    <w:qFormat/>
    <w:rsid w:val="008E1F1B"/>
    <w:pPr>
      <w:ind w:left="720"/>
      <w:contextualSpacing/>
    </w:pPr>
  </w:style>
  <w:style w:type="table" w:styleId="a5">
    <w:name w:val="Table Grid"/>
    <w:aliases w:val="Сетка таблицы-Кунгур,Сетка таблицы-рыбинск,РСХБ"/>
    <w:basedOn w:val="a1"/>
    <w:uiPriority w:val="59"/>
    <w:rsid w:val="008E1F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UL Знак,Абзац маркированнный Знак"/>
    <w:link w:val="a3"/>
    <w:uiPriority w:val="34"/>
    <w:locked/>
    <w:rsid w:val="008E1F1B"/>
    <w:rPr>
      <w:rFonts w:ascii="Calibri" w:eastAsia="Calibri" w:hAnsi="Calibri" w:cs="Times New Roman"/>
    </w:rPr>
  </w:style>
  <w:style w:type="paragraph" w:customStyle="1" w:styleId="Default">
    <w:name w:val="Default"/>
    <w:rsid w:val="00024E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aliases w:val="отступ 3пт,heading3,Body Text - Level 2,текст таблицы,Подпись1"/>
    <w:basedOn w:val="a"/>
    <w:link w:val="a7"/>
    <w:unhideWhenUsed/>
    <w:rsid w:val="00AE7FBD"/>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aliases w:val="отступ 3пт Знак,heading3 Знак,Body Text - Level 2 Знак,текст таблицы Знак,Подпись1 Знак"/>
    <w:basedOn w:val="a0"/>
    <w:link w:val="a6"/>
    <w:rsid w:val="00AE7FBD"/>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EE7359"/>
    <w:pPr>
      <w:spacing w:after="160" w:line="240" w:lineRule="auto"/>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rsid w:val="00EE7359"/>
    <w:rPr>
      <w:sz w:val="20"/>
      <w:szCs w:val="20"/>
    </w:rPr>
  </w:style>
  <w:style w:type="paragraph" w:styleId="2">
    <w:name w:val="Body Text 2"/>
    <w:basedOn w:val="a"/>
    <w:link w:val="20"/>
    <w:uiPriority w:val="99"/>
    <w:unhideWhenUsed/>
    <w:rsid w:val="00EE7359"/>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rsid w:val="00EE7359"/>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b"/>
    <w:uiPriority w:val="99"/>
    <w:unhideWhenUsed/>
    <w:qFormat/>
    <w:rsid w:val="0098749F"/>
    <w:pPr>
      <w:widowControl w:val="0"/>
      <w:autoSpaceDE w:val="0"/>
      <w:autoSpaceDN w:val="0"/>
      <w:spacing w:after="0" w:line="240" w:lineRule="auto"/>
      <w:ind w:firstLine="567"/>
      <w:jc w:val="both"/>
    </w:pPr>
    <w:rPr>
      <w:rFonts w:ascii="Times New Roman" w:eastAsia="Times New Roman" w:hAnsi="Times New Roman"/>
      <w:kern w:val="24"/>
      <w:sz w:val="20"/>
      <w:szCs w:val="20"/>
      <w:lang w:eastAsia="ru-RU"/>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a"/>
    <w:uiPriority w:val="99"/>
    <w:rsid w:val="0098749F"/>
    <w:rPr>
      <w:rFonts w:ascii="Times New Roman" w:eastAsia="Times New Roman" w:hAnsi="Times New Roman" w:cs="Times New Roman"/>
      <w:kern w:val="24"/>
      <w:sz w:val="20"/>
      <w:szCs w:val="20"/>
      <w:lang w:eastAsia="ru-RU"/>
    </w:rPr>
  </w:style>
  <w:style w:type="character" w:styleId="a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unhideWhenUsed/>
    <w:qFormat/>
    <w:rsid w:val="0098749F"/>
    <w:rPr>
      <w:vertAlign w:val="superscript"/>
    </w:rPr>
  </w:style>
  <w:style w:type="paragraph" w:styleId="ad">
    <w:name w:val="No Spacing"/>
    <w:uiPriority w:val="1"/>
    <w:qFormat/>
    <w:rsid w:val="002B672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Анастасия Алексеевна</dc:creator>
  <cp:lastModifiedBy>Горбачева Анастасия Алексеевна</cp:lastModifiedBy>
  <cp:revision>4</cp:revision>
  <dcterms:created xsi:type="dcterms:W3CDTF">2020-07-10T06:43:00Z</dcterms:created>
  <dcterms:modified xsi:type="dcterms:W3CDTF">2020-07-10T07:30:00Z</dcterms:modified>
</cp:coreProperties>
</file>