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5"/>
        <w:jc w:val="left"/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УТВЕРЖДАЮ</w:t>
      </w:r>
      <w:r>
        <w:rPr>
          <w:b/>
          <w:sz w:val="24"/>
        </w:rPr>
      </w:r>
      <w:r/>
    </w:p>
    <w:p>
      <w:pPr>
        <w:pStyle w:val="585"/>
        <w:ind w:firstLine="709"/>
        <w:jc w:val="left"/>
        <w:rPr>
          <w:sz w:val="24"/>
        </w:rPr>
      </w:pPr>
      <w:r>
        <w:rPr>
          <w:sz w:val="24"/>
        </w:rPr>
        <w:t xml:space="preserve">Зам.</w:t>
      </w:r>
      <w:r>
        <w:rPr>
          <w:sz w:val="24"/>
        </w:rPr>
        <w:t xml:space="preserve"> </w:t>
      </w:r>
      <w:r>
        <w:rPr>
          <w:sz w:val="24"/>
        </w:rPr>
        <w:t xml:space="preserve">г</w:t>
      </w:r>
      <w:r>
        <w:rPr>
          <w:sz w:val="24"/>
        </w:rPr>
        <w:t xml:space="preserve">енеральн</w:t>
      </w:r>
      <w:r>
        <w:rPr>
          <w:sz w:val="24"/>
        </w:rPr>
        <w:t xml:space="preserve">ого</w:t>
      </w:r>
      <w:r>
        <w:rPr>
          <w:sz w:val="24"/>
        </w:rPr>
        <w:t xml:space="preserve"> директор</w:t>
      </w:r>
      <w:r>
        <w:rPr>
          <w:sz w:val="24"/>
        </w:rPr>
        <w:t xml:space="preserve">а</w:t>
      </w:r>
      <w:r/>
    </w:p>
    <w:p>
      <w:pPr>
        <w:pStyle w:val="585"/>
        <w:ind w:firstLine="709"/>
        <w:jc w:val="left"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 xml:space="preserve">финансам и стратегическому развитию</w:t>
      </w:r>
      <w:r>
        <w:rPr>
          <w:sz w:val="24"/>
        </w:rPr>
      </w:r>
      <w:r/>
    </w:p>
    <w:p>
      <w:pPr>
        <w:pStyle w:val="585"/>
        <w:ind w:firstLine="709"/>
        <w:jc w:val="left"/>
        <w:rPr>
          <w:sz w:val="24"/>
        </w:rPr>
      </w:pPr>
      <w:r>
        <w:rPr>
          <w:sz w:val="24"/>
        </w:rPr>
      </w:r>
      <w:r/>
    </w:p>
    <w:p>
      <w:pPr>
        <w:pStyle w:val="585"/>
        <w:ind w:firstLine="709"/>
        <w:jc w:val="left"/>
        <w:rPr>
          <w:sz w:val="24"/>
        </w:rPr>
      </w:pPr>
      <w:r>
        <w:rPr>
          <w:sz w:val="24"/>
        </w:rPr>
        <w:t xml:space="preserve">___________________/</w:t>
      </w:r>
      <w:r>
        <w:rPr>
          <w:sz w:val="24"/>
        </w:rPr>
        <w:t xml:space="preserve">Половинко А.А.</w:t>
      </w:r>
      <w:r>
        <w:rPr>
          <w:sz w:val="24"/>
        </w:rPr>
        <w:t xml:space="preserve">/</w:t>
      </w:r>
      <w:r/>
    </w:p>
    <w:p>
      <w:pPr>
        <w:pStyle w:val="585"/>
        <w:ind w:firstLine="709"/>
        <w:jc w:val="left"/>
        <w:rPr>
          <w:sz w:val="24"/>
        </w:rPr>
      </w:pPr>
      <w:r>
        <w:rPr>
          <w:sz w:val="24"/>
        </w:rPr>
      </w:r>
      <w:r/>
    </w:p>
    <w:p>
      <w:pPr>
        <w:pStyle w:val="585"/>
        <w:ind w:firstLine="709"/>
        <w:jc w:val="left"/>
        <w:rPr>
          <w:sz w:val="24"/>
        </w:rPr>
      </w:pPr>
      <w:r>
        <w:rPr>
          <w:sz w:val="24"/>
        </w:rPr>
        <w:t xml:space="preserve">"____" _____________ 20</w:t>
      </w:r>
      <w:r>
        <w:rPr>
          <w:sz w:val="24"/>
          <w:lang w:val="en-US"/>
        </w:rPr>
        <w:t xml:space="preserve">20</w:t>
      </w:r>
      <w:r>
        <w:rPr>
          <w:sz w:val="24"/>
        </w:rPr>
        <w:t xml:space="preserve"> г.</w:t>
      </w:r>
      <w:r>
        <w:rPr>
          <w:sz w:val="24"/>
        </w:rPr>
      </w:r>
      <w:r/>
    </w:p>
    <w:p>
      <w:pPr>
        <w:pStyle w:val="585"/>
        <w:ind w:firstLine="709"/>
        <w:jc w:val="left"/>
        <w:rPr>
          <w:b/>
          <w:sz w:val="24"/>
        </w:rPr>
      </w:pPr>
      <w:r>
        <w:rPr>
          <w:b/>
          <w:sz w:val="24"/>
        </w:rPr>
        <w:tab/>
        <w:tab/>
      </w:r>
      <w:r/>
    </w:p>
    <w:p>
      <w:pPr>
        <w:pStyle w:val="585"/>
        <w:ind w:firstLine="709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</w:r>
      <w:r/>
    </w:p>
    <w:p>
      <w:pPr>
        <w:pStyle w:val="576"/>
        <w:rPr>
          <w:sz w:val="28"/>
        </w:rPr>
      </w:pPr>
      <w:r>
        <w:rPr>
          <w:sz w:val="28"/>
        </w:rPr>
        <w:t xml:space="preserve">ТЕХНИЧЕСКОЕ ЗАДАНИ</w:t>
      </w:r>
      <w:r>
        <w:rPr>
          <w:sz w:val="28"/>
        </w:rPr>
        <w:t xml:space="preserve">Е</w:t>
      </w:r>
      <w:r/>
    </w:p>
    <w:p>
      <w:pPr>
        <w:pStyle w:val="576"/>
        <w:rPr>
          <w:sz w:val="28"/>
          <w:szCs w:val="28"/>
        </w:rPr>
      </w:pPr>
      <w:r>
        <w:rPr>
          <w:sz w:val="28"/>
        </w:rPr>
        <w:t xml:space="preserve">на проектирование и </w:t>
      </w:r>
      <w:r>
        <w:rPr>
          <w:sz w:val="28"/>
        </w:rPr>
        <w:t xml:space="preserve">монтаж</w:t>
      </w:r>
      <w:r>
        <w:rPr>
          <w:sz w:val="28"/>
        </w:rPr>
        <w:t xml:space="preserve"> компьютерных сетей и цифровых систем передачи данных</w:t>
      </w:r>
      <w:r>
        <w:rPr>
          <w:sz w:val="28"/>
        </w:rPr>
        <w:t xml:space="preserve"> </w:t>
      </w:r>
      <w:r>
        <w:rPr>
          <w:sz w:val="28"/>
        </w:rPr>
        <w:t xml:space="preserve">в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здании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Административно лабораторного корпуса </w:t>
      </w:r>
      <w:r>
        <w:rPr>
          <w:sz w:val="28"/>
          <w:szCs w:val="28"/>
        </w:rPr>
        <w:t xml:space="preserve">(АЛК)</w:t>
      </w:r>
      <w:r>
        <w:rPr>
          <w:sz w:val="28"/>
          <w:szCs w:val="28"/>
        </w:rPr>
        <w:t xml:space="preserve"> АО</w:t>
      </w:r>
      <w:r>
        <w:t xml:space="preserve"> </w:t>
      </w:r>
      <w:r>
        <w:rPr>
          <w:sz w:val="28"/>
          <w:szCs w:val="28"/>
        </w:rPr>
        <w:t xml:space="preserve">«НИИМЭ»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Москва, г. Зеленоград, </w:t>
      </w:r>
      <w:r>
        <w:rPr>
          <w:b/>
          <w:sz w:val="28"/>
          <w:szCs w:val="28"/>
        </w:rPr>
        <w:t xml:space="preserve">ул. Академика Валиева</w:t>
      </w:r>
      <w:r>
        <w:rPr>
          <w:b/>
          <w:sz w:val="28"/>
          <w:szCs w:val="28"/>
        </w:rPr>
        <w:t xml:space="preserve">, д.6</w:t>
      </w:r>
      <w:r>
        <w:rPr>
          <w:b/>
          <w:sz w:val="28"/>
          <w:szCs w:val="28"/>
        </w:rPr>
        <w:t xml:space="preserve"> стр.1</w:t>
      </w: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2020</w:t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736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70"/>
        <w:gridCol w:w="3747"/>
        <w:gridCol w:w="33"/>
        <w:gridCol w:w="5486"/>
      </w:tblGrid>
      <w:tr>
        <w:trPr>
          <w:tblHeader/>
        </w:trPr>
        <w:tc>
          <w:tcPr>
            <w:shd w:val="thinDiagCross" w:color="auto" w:fill="auto"/>
            <w:tcW w:w="1470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gridSpan w:val="2"/>
            <w:shd w:val="thinDiagCross" w:color="auto" w:fill="auto"/>
            <w:tcW w:w="378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Перечень основных требований</w:t>
            </w:r>
            <w:r/>
          </w:p>
        </w:tc>
        <w:tc>
          <w:tcPr>
            <w:shd w:val="thinDiagCross" w:color="auto" w:fill="auto"/>
            <w:tcW w:w="5486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Содержание требований</w:t>
            </w:r>
            <w:r/>
          </w:p>
        </w:tc>
      </w:tr>
      <w:tr>
        <w:trPr>
          <w:trHeight w:val="170"/>
        </w:trPr>
        <w:tc>
          <w:tcPr>
            <w:gridSpan w:val="4"/>
            <w:tcW w:w="10736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1.Общие данные</w:t>
            </w:r>
            <w:r/>
          </w:p>
        </w:tc>
      </w:tr>
      <w:tr>
        <w:trPr>
          <w:trHeight w:val="350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1.1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Основание для </w:t>
            </w:r>
            <w:r>
              <w:t xml:space="preserve">проведения работы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Н</w:t>
            </w:r>
            <w:r>
              <w:t xml:space="preserve">астоящее техническое задание</w:t>
            </w:r>
            <w:r>
              <w:t xml:space="preserve"> (ТЗ)</w:t>
            </w:r>
            <w:r/>
          </w:p>
        </w:tc>
      </w:tr>
      <w:tr>
        <w:trPr>
          <w:trHeight w:val="9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1.2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Назначение работ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6"/>
              <w:jc w:val="left"/>
              <w:rPr>
                <w:b w:val="false"/>
                <w:sz w:val="28"/>
                <w:szCs w:val="28"/>
              </w:rPr>
            </w:pPr>
            <w:r>
              <w:rPr>
                <w:b w:val="false"/>
              </w:rPr>
              <w:t xml:space="preserve">Проектирование и </w:t>
            </w:r>
            <w:r>
              <w:rPr>
                <w:b w:val="false"/>
              </w:rPr>
              <w:t xml:space="preserve">монтаж компьютерных сетей и цифровых систем передачи данных</w:t>
            </w:r>
            <w:r>
              <w:rPr>
                <w:b w:val="false"/>
              </w:rPr>
              <w:t xml:space="preserve"> (АЛК) АО «НИИМЭ»</w:t>
            </w:r>
            <w:r>
              <w:rPr>
                <w:b w:val="false"/>
                <w:sz w:val="28"/>
                <w:szCs w:val="28"/>
              </w:rPr>
            </w:r>
            <w:r/>
          </w:p>
        </w:tc>
      </w:tr>
      <w:tr>
        <w:trPr>
          <w:trHeight w:val="517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</w:t>
            </w:r>
            <w:r>
              <w:t xml:space="preserve">.3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Наименование </w:t>
            </w:r>
            <w:r>
              <w:t xml:space="preserve">системы</w:t>
            </w:r>
            <w:r>
              <w:t xml:space="preserve">/ </w:t>
            </w:r>
            <w:r>
              <w:t xml:space="preserve">оборудования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Здание АЛК АО «НИИМЭ»</w:t>
            </w:r>
            <w:r/>
          </w:p>
        </w:tc>
      </w:tr>
      <w:tr>
        <w:trPr>
          <w:trHeight w:val="517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1.4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Расположение системы</w:t>
            </w:r>
            <w:r>
              <w:t xml:space="preserve">/ </w:t>
            </w:r>
            <w:r>
              <w:t xml:space="preserve">оборудования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Административно-лабораторный корпус(АЛК) 18 этажей, подвальное помещение, площадь-11693,4м2</w:t>
            </w:r>
            <w:r/>
          </w:p>
        </w:tc>
      </w:tr>
      <w:tr>
        <w:trPr>
          <w:trHeight w:val="355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1.5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Тип, количество оборудования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Работы выполняются материалами Подрядчика</w:t>
            </w:r>
            <w:r/>
          </w:p>
        </w:tc>
      </w:tr>
      <w:tr>
        <w:trPr>
          <w:trHeight w:val="35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1.6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Заказчик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АО «</w:t>
            </w:r>
            <w:r>
              <w:t xml:space="preserve">НИИМЭ</w:t>
            </w:r>
            <w:r>
              <w:t xml:space="preserve">»</w:t>
            </w:r>
            <w:r/>
          </w:p>
        </w:tc>
      </w:tr>
      <w:tr>
        <w:trPr>
          <w:trHeight w:val="517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1.</w:t>
            </w:r>
            <w:r>
              <w:t xml:space="preserve">7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Сроки начала и окончания работ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  <w:ind w:left="128"/>
            </w:pPr>
            <w:r>
              <w:t xml:space="preserve">В соотве</w:t>
            </w:r>
            <w:r>
              <w:t xml:space="preserve">тствии с договором</w:t>
            </w:r>
            <w:r>
              <w:t xml:space="preserve">.</w:t>
            </w:r>
            <w:r/>
          </w:p>
          <w:p>
            <w:pPr>
              <w:pStyle w:val="575"/>
              <w:ind w:left="128"/>
              <w:rPr>
                <w:u w:val="single"/>
              </w:rPr>
            </w:pPr>
            <w:r>
              <w:t xml:space="preserve">Продолж</w:t>
            </w:r>
            <w:r>
              <w:t xml:space="preserve">ительность выполнения работ </w:t>
            </w:r>
            <w:r>
              <w:t xml:space="preserve">24 месяца</w:t>
            </w:r>
            <w:r>
              <w:rPr>
                <w:u w:val="single"/>
              </w:rPr>
            </w:r>
            <w:r/>
          </w:p>
        </w:tc>
      </w:tr>
      <w:tr>
        <w:trPr>
          <w:trHeight w:val="517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rPr>
                <w:lang w:val="en-US"/>
              </w:rPr>
              <w:t xml:space="preserve">1</w:t>
            </w:r>
            <w:r>
              <w:t xml:space="preserve">.8</w:t>
            </w:r>
            <w:r/>
          </w:p>
        </w:tc>
        <w:tc>
          <w:tcPr>
            <w:gridSpan w:val="2"/>
            <w:tcW w:w="3780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Гарантийные сроки</w:t>
            </w:r>
            <w:r/>
          </w:p>
        </w:tc>
        <w:tc>
          <w:tcPr>
            <w:tcW w:w="5486" w:type="dxa"/>
            <w:vAlign w:val="center"/>
            <w:textDirection w:val="lrTb"/>
            <w:noWrap w:val="false"/>
          </w:tcPr>
          <w:p>
            <w:pPr>
              <w:pStyle w:val="575"/>
              <w:ind w:left="128"/>
            </w:pPr>
            <w:r>
              <w:t xml:space="preserve">24 месяца с даты подписания </w:t>
            </w:r>
            <w:r>
              <w:t xml:space="preserve">итогового </w:t>
            </w:r>
            <w:r>
              <w:t xml:space="preserve">Акта сдачи-приемки выполненных работ</w:t>
            </w:r>
            <w:r/>
          </w:p>
        </w:tc>
      </w:tr>
      <w:tr>
        <w:trPr>
          <w:trHeight w:val="105"/>
        </w:trPr>
        <w:tc>
          <w:tcPr>
            <w:gridSpan w:val="4"/>
            <w:tcW w:w="10736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Состав работ</w:t>
            </w:r>
            <w:r>
              <w:rPr>
                <w:b/>
              </w:rPr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2.1</w:t>
            </w:r>
            <w:r/>
          </w:p>
        </w:tc>
        <w:tc>
          <w:tcPr>
            <w:tcBorders>
              <w:bottom w:val="single" w:color="000000" w:sz="4" w:space="0"/>
            </w:tcBorders>
            <w:tcW w:w="3747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Приемка объекта(строительной площадки) для проведения работ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  <w:tabs>
                <w:tab w:val="left" w:pos="33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принимает площадку от Заказчика для производства работ по Акту приема-передачи строительной площадки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8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2.</w:t>
            </w:r>
            <w: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3747" w:type="dxa"/>
            <w:vAlign w:val="center"/>
            <w:textDirection w:val="lrTb"/>
            <w:noWrap w:val="false"/>
          </w:tcPr>
          <w:p>
            <w:pPr>
              <w:pStyle w:val="575"/>
              <w:rPr>
                <w:rStyle w:val="626"/>
              </w:rPr>
            </w:pPr>
            <w:r>
              <w:t xml:space="preserve">Порядок проведения работ</w:t>
            </w:r>
            <w:r>
              <w:rPr>
                <w:rStyle w:val="626"/>
              </w:rPr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  <w:jc w:val="both"/>
              <w:tabs>
                <w:tab w:val="left" w:pos="3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Проведение работ производятся Исполнителем по заявке Заказчика. Объем  и сроки работ указываются в заявке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Работы выполняются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документации</w:t>
            </w:r>
            <w:r>
              <w:rPr>
                <w:sz w:val="22"/>
                <w:szCs w:val="22"/>
              </w:rPr>
              <w:t xml:space="preserve">, котор</w:t>
            </w:r>
            <w:r>
              <w:rPr>
                <w:sz w:val="22"/>
                <w:szCs w:val="22"/>
              </w:rPr>
              <w:t xml:space="preserve">ая</w:t>
            </w:r>
            <w:r>
              <w:rPr>
                <w:sz w:val="22"/>
                <w:szCs w:val="22"/>
              </w:rPr>
              <w:t xml:space="preserve"> должн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быть разработан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 Исполнителем и согласован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Заказчиком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срок не позднее </w:t>
            </w:r>
            <w:r>
              <w:rPr>
                <w:sz w:val="22"/>
                <w:szCs w:val="22"/>
              </w:rPr>
              <w:t xml:space="preserve">4 рабочих</w:t>
            </w:r>
            <w:r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 xml:space="preserve">ей с момента получения Заявки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575"/>
              <w:jc w:val="both"/>
              <w:tabs>
                <w:tab w:val="left" w:pos="33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выполняются материалом подрядчика по отдельно выставленному счёту</w:t>
            </w:r>
            <w:r>
              <w:rPr>
                <w:sz w:val="22"/>
                <w:szCs w:val="22"/>
              </w:rPr>
              <w:t xml:space="preserve"> на основании заявки Заказчика.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575"/>
              <w:tabs>
                <w:tab w:val="left" w:pos="336" w:leader="none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Обязанности подрядчика</w:t>
            </w:r>
            <w:r>
              <w:rPr>
                <w:b/>
                <w:sz w:val="22"/>
                <w:szCs w:val="22"/>
                <w:u w:val="single"/>
              </w:rPr>
              <w:t xml:space="preserve">:</w:t>
            </w:r>
            <w:r>
              <w:rPr>
                <w:b/>
                <w:sz w:val="22"/>
                <w:szCs w:val="22"/>
                <w:u w:val="single"/>
              </w:rPr>
            </w:r>
            <w:r/>
          </w:p>
          <w:p>
            <w:pPr>
              <w:pStyle w:val="575"/>
              <w:jc w:val="both"/>
              <w:tabs>
                <w:tab w:val="left" w:pos="33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Работы планировать с учётом обеспечения дополнительных мер безопасности </w:t>
            </w:r>
            <w:r>
              <w:rPr>
                <w:sz w:val="22"/>
                <w:szCs w:val="22"/>
              </w:rPr>
              <w:t xml:space="preserve">в соответствии с приложением №</w:t>
            </w:r>
            <w:r>
              <w:rPr>
                <w:sz w:val="22"/>
                <w:szCs w:val="22"/>
              </w:rPr>
              <w:t xml:space="preserve">2 и нормативно техническ</w:t>
            </w:r>
            <w:r>
              <w:rPr>
                <w:sz w:val="22"/>
                <w:szCs w:val="22"/>
              </w:rPr>
              <w:t xml:space="preserve">ой документацией действующей</w:t>
            </w:r>
            <w:r>
              <w:rPr>
                <w:sz w:val="22"/>
                <w:szCs w:val="22"/>
              </w:rPr>
              <w:t xml:space="preserve"> на территории РФ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pStyle w:val="575"/>
              <w:tabs>
                <w:tab w:val="left" w:pos="336" w:leader="none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Подрядчик обязан поддерживать чистоту на </w:t>
            </w:r>
            <w:r>
              <w:rPr>
                <w:sz w:val="22"/>
                <w:szCs w:val="22"/>
              </w:rPr>
              <w:t xml:space="preserve">строительной</w:t>
            </w:r>
            <w:r>
              <w:rPr>
                <w:sz w:val="22"/>
                <w:szCs w:val="22"/>
              </w:rPr>
              <w:t xml:space="preserve"> площадки и </w:t>
            </w:r>
            <w:r>
              <w:rPr>
                <w:sz w:val="22"/>
                <w:szCs w:val="22"/>
              </w:rPr>
              <w:t xml:space="preserve">прилагающей</w:t>
            </w:r>
            <w:r>
              <w:rPr>
                <w:sz w:val="22"/>
                <w:szCs w:val="22"/>
              </w:rPr>
              <w:t xml:space="preserve"> территории во время проведения работ с проведением влажной уборки в случае необходимости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2.4</w:t>
            </w:r>
            <w:r/>
          </w:p>
        </w:tc>
        <w:tc>
          <w:tcPr>
            <w:tcW w:w="3747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Применение нормативных документов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  <w:rPr>
                <w:u w:val="single"/>
              </w:rPr>
            </w:pPr>
            <w:r>
              <w:t xml:space="preserve">В</w:t>
            </w:r>
            <w:r>
              <w:t xml:space="preserve"> соответствии с действу</w:t>
            </w:r>
            <w:r>
              <w:t xml:space="preserve">ющими нормативными документами и законодательством РФ и</w:t>
            </w:r>
            <w:r>
              <w:t xml:space="preserve"> Правительства </w:t>
            </w:r>
            <w:r>
              <w:t xml:space="preserve">г.</w:t>
            </w:r>
            <w:r>
              <w:t xml:space="preserve">Москвы</w:t>
            </w:r>
            <w:r>
              <w:t xml:space="preserve">.</w:t>
            </w:r>
            <w:r>
              <w:rPr>
                <w:u w:val="single"/>
              </w:rPr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2.5</w:t>
            </w:r>
            <w:r/>
          </w:p>
        </w:tc>
        <w:tc>
          <w:tcPr>
            <w:tcW w:w="3747" w:type="dxa"/>
            <w:vAlign w:val="center"/>
            <w:textDirection w:val="lrTb"/>
            <w:noWrap w:val="false"/>
          </w:tcPr>
          <w:p>
            <w:pPr>
              <w:pStyle w:val="575"/>
              <w:spacing w:lineRule="auto" w:line="276"/>
            </w:pPr>
            <w:r>
              <w:t xml:space="preserve">Порядок приемки работ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  <w:numPr>
                <w:ilvl w:val="0"/>
                <w:numId w:val="4"/>
              </w:numPr>
              <w:ind w:left="0" w:firstLine="0"/>
              <w:tabs>
                <w:tab w:val="left" w:pos="264" w:leader="none"/>
              </w:tabs>
            </w:pPr>
            <w:r>
              <w:t xml:space="preserve">Приемку работ проводит Комиссия, сос</w:t>
            </w:r>
            <w:r>
              <w:t xml:space="preserve">тав которой определяет Заказчик, приказом по предприятию, </w:t>
            </w:r>
            <w:r>
              <w:t xml:space="preserve">с участием представителей Подрядчика.</w:t>
            </w:r>
            <w:r/>
          </w:p>
          <w:p>
            <w:pPr>
              <w:pStyle w:val="575"/>
              <w:numPr>
                <w:ilvl w:val="0"/>
                <w:numId w:val="4"/>
              </w:numPr>
              <w:ind w:left="0" w:firstLine="0"/>
              <w:tabs>
                <w:tab w:val="left" w:pos="264" w:leader="none"/>
              </w:tabs>
            </w:pPr>
            <w:r>
              <w:t xml:space="preserve">Работы принимаются и оплачиваются по фактически выполненному объему работ.</w:t>
            </w:r>
            <w:r/>
          </w:p>
          <w:p>
            <w:pPr>
              <w:pStyle w:val="575"/>
              <w:numPr>
                <w:ilvl w:val="0"/>
                <w:numId w:val="4"/>
              </w:numPr>
              <w:ind w:left="0" w:firstLine="0"/>
              <w:tabs>
                <w:tab w:val="left" w:pos="264" w:leader="none"/>
              </w:tabs>
            </w:pPr>
            <w:r>
              <w:t xml:space="preserve">Работа комиссии заканчивается Актом </w:t>
            </w:r>
            <w:r>
              <w:t xml:space="preserve">сдачи-</w:t>
            </w:r>
            <w:r>
              <w:t xml:space="preserve">приемки </w:t>
            </w:r>
            <w:r>
              <w:t xml:space="preserve">выполненных работ, подписа</w:t>
            </w:r>
            <w:r>
              <w:t xml:space="preserve">нным со </w:t>
            </w:r>
            <w:r>
              <w:t xml:space="preserve">стороны Заказчика и Подрядчика.</w:t>
            </w:r>
            <w:r/>
          </w:p>
          <w:p>
            <w:pPr>
              <w:pStyle w:val="575"/>
              <w:numPr>
                <w:ilvl w:val="0"/>
                <w:numId w:val="4"/>
              </w:numPr>
              <w:ind w:left="0" w:firstLine="0"/>
              <w:tabs>
                <w:tab w:val="left" w:pos="264" w:leader="none"/>
              </w:tabs>
            </w:pPr>
            <w:r>
              <w:t xml:space="preserve">Подрядчик обязан передать Заказчику комплект исполнительной документации,</w:t>
            </w:r>
            <w:r>
              <w:t xml:space="preserve"> </w:t>
            </w:r>
            <w:r>
              <w:t xml:space="preserve">паспорта, сертификаты. </w:t>
            </w:r>
            <w:r/>
          </w:p>
        </w:tc>
      </w:tr>
      <w:tr>
        <w:trPr>
          <w:trHeight w:val="383"/>
        </w:trPr>
        <w:tc>
          <w:tcPr>
            <w:gridSpan w:val="4"/>
            <w:tcW w:w="10736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3. Требования к персоналу и организации работ</w:t>
            </w:r>
            <w:r>
              <w:rPr>
                <w:b/>
              </w:rPr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3.1</w:t>
            </w:r>
            <w:r/>
          </w:p>
        </w:tc>
        <w:tc>
          <w:tcPr>
            <w:tcW w:w="3747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Квалификация персонала и меры безопасности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  <w:ind w:left="0" w:firstLine="0"/>
              <w:tabs>
                <w:tab w:val="left" w:pos="345" w:leader="none"/>
              </w:tabs>
            </w:pPr>
            <w:r>
              <w:t xml:space="preserve">1.Персонал Подрядчика, выполняющий р</w:t>
            </w:r>
            <w:r>
              <w:t xml:space="preserve">аботы по </w:t>
            </w:r>
            <w:r>
              <w:t xml:space="preserve">данному техническому заданию, должен:</w:t>
            </w:r>
            <w:r/>
          </w:p>
          <w:p>
            <w:pPr>
              <w:pStyle w:val="575"/>
              <w:ind w:left="0" w:firstLine="0"/>
              <w:tabs>
                <w:tab w:val="left" w:pos="345" w:leader="none"/>
              </w:tabs>
              <w:rPr>
                <w:highlight w:val="red"/>
              </w:rPr>
            </w:pPr>
            <w:r>
              <w:t xml:space="preserve">- </w:t>
            </w:r>
            <w:r>
              <w:t xml:space="preserve">иметь гражданство Российской Федерации,</w:t>
            </w:r>
            <w:r/>
          </w:p>
          <w:p>
            <w:pPr>
              <w:pStyle w:val="575"/>
            </w:pPr>
            <w:r>
              <w:t xml:space="preserve">- иметь необходимую квалификацию,</w:t>
            </w:r>
            <w:r/>
          </w:p>
          <w:p>
            <w:pPr>
              <w:pStyle w:val="575"/>
            </w:pPr>
            <w:r>
              <w:t xml:space="preserve">- быть обученным и аттестованным</w:t>
            </w:r>
            <w:r/>
          </w:p>
          <w:p>
            <w:pPr>
              <w:pStyle w:val="575"/>
            </w:pPr>
            <w:r>
              <w:t xml:space="preserve">2. Иметь </w:t>
            </w:r>
            <w:r>
              <w:t xml:space="preserve">инструмент, прис</w:t>
            </w:r>
            <w:r>
              <w:t xml:space="preserve">пособления и прочее, необходимое</w:t>
            </w:r>
            <w:r>
              <w:t xml:space="preserve">  для безуслов</w:t>
            </w:r>
            <w:r>
              <w:t xml:space="preserve">ного и качественного выполнения работ,</w:t>
            </w:r>
            <w:r>
              <w:t xml:space="preserve"> в соответствие с данным техническим заданием.</w:t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3.2</w:t>
            </w:r>
            <w:r/>
          </w:p>
        </w:tc>
        <w:tc>
          <w:tcPr>
            <w:tcW w:w="3747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Обеспечение внутреннего распорядка и режима безопасности предприятия Заказчика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Подрядчик</w:t>
            </w:r>
            <w:r>
              <w:t xml:space="preserve"> обязан соблюдать </w:t>
            </w:r>
            <w:r>
              <w:t xml:space="preserve"> внутренн</w:t>
            </w:r>
            <w:r>
              <w:t xml:space="preserve">ий</w:t>
            </w:r>
            <w:r>
              <w:t xml:space="preserve"> распоряд</w:t>
            </w:r>
            <w:r>
              <w:t xml:space="preserve">о</w:t>
            </w:r>
            <w:r>
              <w:t xml:space="preserve">к и режим безопасности предприятия Заказчика</w:t>
            </w:r>
            <w:r>
              <w:t xml:space="preserve">, </w:t>
            </w:r>
            <w:r>
              <w:rPr>
                <w:b/>
              </w:rPr>
              <w:t xml:space="preserve">на территорию предприятия допускается персонал Подрядчика имеющий гражданство РФ</w:t>
            </w:r>
            <w:r>
              <w:t xml:space="preserve">. </w:t>
            </w:r>
            <w:r/>
          </w:p>
          <w:p>
            <w:pPr>
              <w:pStyle w:val="575"/>
            </w:pPr>
            <w:r>
              <w:t xml:space="preserve">Т</w:t>
            </w:r>
            <w:r>
              <w:t xml:space="preserve">ребования к технике безопасности и охране труда принимаются в соо</w:t>
            </w:r>
            <w:r>
              <w:t xml:space="preserve">т</w:t>
            </w:r>
            <w:r>
              <w:t xml:space="preserve">ветствии со стандартами С</w:t>
            </w:r>
            <w:r>
              <w:t xml:space="preserve">СБТ</w:t>
            </w:r>
            <w:r>
              <w:t xml:space="preserve"> (системы стандартов безопасности труда) и другими правилами безопасности производственных процессов. Требования к гигиене труда прин</w:t>
            </w:r>
            <w:r>
              <w:t xml:space="preserve">и</w:t>
            </w:r>
            <w:r>
              <w:t xml:space="preserve">маются в соответствии с действующей нормативно-технической документацией РФ.</w:t>
            </w:r>
            <w:r/>
          </w:p>
          <w:p>
            <w:pPr>
              <w:pStyle w:val="575"/>
            </w:pPr>
            <w:r>
              <w:t xml:space="preserve">Подрядчик обязан соблюдать требования по пожарной безопасности в</w:t>
            </w:r>
            <w:r>
              <w:t xml:space="preserve"> соответствии с законодательством, нормами и правилами, действующими на территории РФ.</w:t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3.3</w:t>
            </w:r>
            <w:r/>
          </w:p>
        </w:tc>
        <w:tc>
          <w:tcPr>
            <w:tcW w:w="3747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Требования к экологии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Подрядчик </w:t>
            </w:r>
            <w:r>
              <w:t xml:space="preserve">должен</w:t>
            </w:r>
            <w:r>
              <w:t xml:space="preserve"> быть осведомлен</w:t>
            </w:r>
            <w:r>
              <w:t xml:space="preserve"> и руководствоваться </w:t>
            </w:r>
            <w:r>
              <w:t xml:space="preserve">Требования в области охраны окружающей среды</w:t>
            </w:r>
            <w:r>
              <w:t xml:space="preserve">.</w:t>
            </w:r>
            <w:r/>
          </w:p>
          <w:p>
            <w:pPr>
              <w:pStyle w:val="575"/>
            </w:pPr>
            <w:r>
              <w:t xml:space="preserve">Ежедневно после окончания работ персонал Подрядчика обязан:</w:t>
            </w:r>
            <w:r/>
          </w:p>
          <w:p>
            <w:pPr>
              <w:pStyle w:val="575"/>
            </w:pPr>
            <w:r>
              <w:t xml:space="preserve">-произвести уборку рабочего места,</w:t>
            </w:r>
            <w:r/>
          </w:p>
          <w:p>
            <w:pPr>
              <w:pStyle w:val="575"/>
            </w:pPr>
            <w:r>
              <w:t xml:space="preserve">-убрать мусор и образовавшиеся отходы. </w:t>
            </w:r>
            <w:r/>
          </w:p>
        </w:tc>
      </w:tr>
      <w:tr>
        <w:trPr>
          <w:trHeight w:val="491"/>
        </w:trPr>
        <w:tc>
          <w:tcPr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3.4</w:t>
            </w:r>
            <w:r/>
          </w:p>
        </w:tc>
        <w:tc>
          <w:tcPr>
            <w:tcW w:w="3747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Требования к оборудованию</w:t>
            </w:r>
            <w:r>
              <w:t xml:space="preserve"> и материал</w:t>
            </w:r>
            <w:r>
              <w:t xml:space="preserve">ам</w:t>
            </w:r>
            <w:r/>
          </w:p>
        </w:tc>
        <w:tc>
          <w:tcPr>
            <w:gridSpan w:val="2"/>
            <w:tcW w:w="5519" w:type="dxa"/>
            <w:vAlign w:val="center"/>
            <w:textDirection w:val="lrTb"/>
            <w:noWrap w:val="false"/>
          </w:tcPr>
          <w:p>
            <w:pPr>
              <w:pStyle w:val="575"/>
            </w:pPr>
            <w:r>
              <w:t xml:space="preserve">Все применяемое оборудование (приборы и другое оснащение) </w:t>
            </w:r>
            <w:r>
              <w:t xml:space="preserve">и материалы должны обеспечивать требуемое качество и безопасность работ. Паспорта, с</w:t>
            </w:r>
            <w:r>
              <w:t xml:space="preserve">ертификаты на применяемые материалы</w:t>
            </w:r>
            <w:r>
              <w:t xml:space="preserve"> и оборудование</w:t>
            </w:r>
            <w:r>
              <w:t xml:space="preserve"> в обязательном порядке предоставить Заказчику.</w:t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3.5</w:t>
            </w:r>
            <w:r/>
          </w:p>
        </w:tc>
        <w:tc>
          <w:tcPr>
            <w:tcW w:w="3747" w:type="dxa"/>
            <w:vAlign w:val="top"/>
            <w:textDirection w:val="lrTb"/>
            <w:noWrap w:val="false"/>
          </w:tcPr>
          <w:p>
            <w:pPr>
              <w:pStyle w:val="575"/>
            </w:pPr>
            <w:r/>
            <w:r/>
          </w:p>
          <w:p>
            <w:pPr>
              <w:pStyle w:val="575"/>
            </w:pPr>
            <w:r/>
            <w:r/>
          </w:p>
          <w:p>
            <w:pPr>
              <w:pStyle w:val="575"/>
            </w:pPr>
            <w:r>
              <w:t xml:space="preserve">Особые условия</w:t>
            </w:r>
            <w:r/>
          </w:p>
        </w:tc>
        <w:tc>
          <w:tcPr>
            <w:gridSpan w:val="2"/>
            <w:tcW w:w="5519" w:type="dxa"/>
            <w:vAlign w:val="top"/>
            <w:textDirection w:val="lrTb"/>
            <w:noWrap w:val="false"/>
          </w:tcPr>
          <w:p>
            <w:pPr>
              <w:pStyle w:val="575"/>
              <w:rPr>
                <w:b/>
              </w:rPr>
            </w:pPr>
            <w:r>
              <w:rPr>
                <w:b/>
              </w:rPr>
              <w:t xml:space="preserve">1.</w:t>
            </w:r>
            <w:r>
              <w:rPr>
                <w:b/>
              </w:rPr>
              <w:t xml:space="preserve">Производство работ с повышенным уровнем шума и запаха осуществлять  только в нерабочее время организации, т.е. в будни после 17 часов или в выходные дни (суббота, воскресенье).</w:t>
            </w:r>
            <w:r>
              <w:rPr>
                <w:b/>
              </w:rPr>
            </w:r>
            <w:r/>
          </w:p>
          <w:p>
            <w:pPr>
              <w:pStyle w:val="575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одъем</w:t>
            </w:r>
            <w:r>
              <w:rPr>
                <w:b/>
              </w:rPr>
              <w:t xml:space="preserve"> материалов и спуск</w:t>
            </w:r>
            <w:r>
              <w:rPr>
                <w:b/>
              </w:rPr>
              <w:t xml:space="preserve">е</w:t>
            </w:r>
            <w:r>
              <w:rPr>
                <w:b/>
              </w:rPr>
              <w:t xml:space="preserve"> мусора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выполнять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 использованием </w:t>
            </w:r>
            <w:r>
              <w:rPr>
                <w:b/>
              </w:rPr>
              <w:t xml:space="preserve">гру</w:t>
            </w:r>
            <w:r>
              <w:rPr>
                <w:b/>
              </w:rPr>
              <w:t xml:space="preserve">зоподъёмного механизма</w:t>
            </w:r>
            <w:r>
              <w:rPr>
                <w:b/>
              </w:rPr>
              <w:t xml:space="preserve"> либо осуществлять подъём и спуск</w:t>
            </w:r>
            <w:r>
              <w:rPr>
                <w:b/>
              </w:rPr>
              <w:t xml:space="preserve"> в ручную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 Запрещается пользоваться пассажирскими лифтами</w:t>
            </w:r>
            <w:r>
              <w:rPr>
                <w:b/>
              </w:rPr>
            </w:r>
            <w:r/>
          </w:p>
          <w:p>
            <w:pPr>
              <w:pStyle w:val="575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. Подрядчик обязан организовать чистоту на площадке и прилегающей территор</w:t>
            </w:r>
            <w:r>
              <w:rPr>
                <w:b/>
              </w:rPr>
              <w:t xml:space="preserve">ии во время проведения ремонтных работ. Производить ежедневную уборку рабочего места и прилегающей к нему территории: убрать мусор, пыль и образовавшиеся отходы, выполнить полную влажную уборку. Складирование строительного мусора и отходов осуществлять тол</w:t>
            </w:r>
            <w:r>
              <w:rPr>
                <w:b/>
              </w:rPr>
              <w:t xml:space="preserve">ько в установленный контейнер для мусора.</w:t>
            </w:r>
            <w:r>
              <w:rPr>
                <w:b/>
              </w:rPr>
            </w:r>
            <w:r/>
          </w:p>
        </w:tc>
      </w:tr>
    </w:tbl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>
        <w:t xml:space="preserve">П</w:t>
      </w:r>
      <w:r>
        <w:t xml:space="preserve">одготов</w:t>
      </w:r>
      <w:r>
        <w:t xml:space="preserve">ил</w:t>
      </w:r>
      <w:r>
        <w:t xml:space="preserve">:</w:t>
      </w:r>
      <w:r/>
    </w:p>
    <w:p>
      <w:pPr>
        <w:pStyle w:val="575"/>
        <w:tabs>
          <w:tab w:val="left" w:pos="4056" w:leader="none"/>
        </w:tabs>
      </w:pPr>
      <w:r>
        <w:t xml:space="preserve">Начальник ОИТ _______________Капичников Д.В.</w:t>
      </w:r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>
        <w:rPr>
          <w:b/>
        </w:rPr>
        <w:t xml:space="preserve">УТВЕРЖДАЮ                   </w:t>
      </w:r>
      <w:r>
        <w:rPr>
          <w:b/>
        </w:rPr>
        <w:t xml:space="preserve">                                                                          </w:t>
      </w:r>
      <w:r>
        <w:rPr>
          <w:b/>
        </w:rPr>
        <w:t xml:space="preserve"> СОГЛАСОВАНО</w:t>
      </w:r>
      <w:r/>
    </w:p>
    <w:p>
      <w:pPr>
        <w:pStyle w:val="575"/>
        <w:tabs>
          <w:tab w:val="left" w:pos="4056" w:leader="none"/>
        </w:tabs>
      </w:pPr>
      <w:r>
        <w:t xml:space="preserve">Заказчик:</w:t>
      </w:r>
      <w:r/>
    </w:p>
    <w:p>
      <w:pPr>
        <w:pStyle w:val="575"/>
        <w:tabs>
          <w:tab w:val="left" w:pos="4056" w:leader="none"/>
        </w:tabs>
      </w:pPr>
      <w:r>
        <w:t xml:space="preserve">Генеральный директор АО «НИИМЭ»</w:t>
      </w:r>
      <w:r>
        <w:t xml:space="preserve">                                                              Подрядчик:</w:t>
      </w:r>
      <w:r/>
    </w:p>
    <w:p>
      <w:pPr>
        <w:pStyle w:val="575"/>
        <w:tabs>
          <w:tab w:val="left" w:pos="4056" w:leader="none"/>
        </w:tabs>
      </w:pPr>
      <w:r>
        <w:t xml:space="preserve">___________  ________ Г.Я. Кр</w:t>
      </w:r>
      <w:r>
        <w:t xml:space="preserve">а</w:t>
      </w:r>
      <w:r>
        <w:t xml:space="preserve">сников</w:t>
      </w:r>
      <w:r>
        <w:t xml:space="preserve">                                                  _________________________</w:t>
      </w:r>
      <w:r/>
    </w:p>
    <w:p>
      <w:pPr>
        <w:pStyle w:val="575"/>
        <w:tabs>
          <w:tab w:val="left" w:pos="4056" w:leader="none"/>
        </w:tabs>
      </w:pPr>
      <w:r/>
      <w:r/>
    </w:p>
    <w:p>
      <w:pPr>
        <w:pStyle w:val="575"/>
        <w:tabs>
          <w:tab w:val="left" w:pos="4056" w:leader="none"/>
        </w:tabs>
      </w:pPr>
      <w:r>
        <w:t xml:space="preserve">«___» __________  2020 г.</w:t>
      </w:r>
      <w:r>
        <w:t xml:space="preserve">                                                                         «___» _____________ 2020 г.</w:t>
      </w:r>
      <w:r/>
    </w:p>
    <w:p>
      <w:pPr>
        <w:pStyle w:val="575"/>
      </w:pPr>
      <w:r/>
      <w:r/>
    </w:p>
    <w:p>
      <w:pPr>
        <w:pStyle w:val="575"/>
      </w:pPr>
      <w:r/>
      <w:r/>
    </w:p>
    <w:p>
      <w:pPr>
        <w:pStyle w:val="575"/>
        <w:jc w:val="center"/>
        <w:rPr>
          <w:b/>
        </w:rPr>
      </w:pPr>
      <w:r>
        <w:rPr>
          <w:b/>
        </w:rPr>
        <w:t xml:space="preserve">Протокол согласования единичных расценок</w:t>
      </w:r>
      <w:r>
        <w:rPr>
          <w:b/>
        </w:rPr>
      </w:r>
      <w:r/>
    </w:p>
    <w:p>
      <w:pPr>
        <w:pStyle w:val="575"/>
        <w:jc w:val="center"/>
      </w:pPr>
      <w:r>
        <w:t xml:space="preserve">На проведение</w:t>
      </w:r>
      <w:r>
        <w:t xml:space="preserve"> работ</w:t>
      </w:r>
      <w:r>
        <w:t xml:space="preserve"> </w:t>
      </w:r>
      <w:r>
        <w:t xml:space="preserve">по проектированию и </w:t>
      </w:r>
      <w:r>
        <w:t xml:space="preserve">монтажу компьютерных сетей и цифровых систем передачи данных</w:t>
      </w:r>
      <w:r>
        <w:t xml:space="preserve">.</w:t>
      </w:r>
      <w:r/>
    </w:p>
    <w:p>
      <w:pPr>
        <w:pStyle w:val="575"/>
        <w:jc w:val="center"/>
      </w:pPr>
      <w:r/>
      <w:r/>
    </w:p>
    <w:p>
      <w:pPr>
        <w:pStyle w:val="575"/>
        <w:jc w:val="center"/>
      </w:pPr>
      <w:r>
        <w:t xml:space="preserve">Адрес объекта: г. Москва, Зеленоград, ул. Академика Валиева, д.6, стр.1</w:t>
      </w:r>
      <w:r/>
    </w:p>
    <w:p>
      <w:pPr>
        <w:pStyle w:val="575"/>
        <w:jc w:val="center"/>
      </w:pPr>
      <w:r/>
      <w:r/>
    </w:p>
    <w:p>
      <w:pPr>
        <w:pStyle w:val="575"/>
        <w:jc w:val="center"/>
        <w:rPr>
          <w:b/>
        </w:rPr>
      </w:pPr>
      <w:r>
        <w:rPr>
          <w:b/>
        </w:rPr>
        <w:t xml:space="preserve">Единичные расценки на основные работы по проектированию и монтажу компьютерных сетей и цифровых систем передачи данных</w:t>
      </w:r>
      <w:r/>
    </w:p>
    <w:p>
      <w:pPr>
        <w:pStyle w:val="575"/>
        <w:jc w:val="center"/>
        <w:rPr>
          <w:b/>
        </w:rPr>
      </w:pPr>
      <w:r>
        <w:rPr>
          <w:b/>
        </w:rPr>
      </w:r>
      <w:r/>
    </w:p>
    <w:p>
      <w:pPr>
        <w:pStyle w:val="575"/>
        <w:jc w:val="center"/>
      </w:pPr>
      <w:r/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5647"/>
        <w:gridCol w:w="991"/>
        <w:gridCol w:w="1699"/>
        <w:gridCol w:w="1637"/>
      </w:tblGrid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работ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Ед. изм.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Расценка за ед. (без НДС)</w:t>
            </w:r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</w:rPr>
            </w:pPr>
            <w:r>
              <w:rPr>
                <w:b/>
              </w:rPr>
              <w:t xml:space="preserve">Примечание</w:t>
            </w:r>
            <w:r/>
          </w:p>
        </w:tc>
      </w:tr>
      <w:tr>
        <w:trPr/>
        <w:tc>
          <w:tcPr>
            <w:gridSpan w:val="5"/>
            <w:tcW w:w="1053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Прокладка кабеля</w:t>
            </w:r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кабеля в лотки (1 метр) Н &gt; 2 м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2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Трассировка кабеля за 1 м (размотка бобины, маркировка, замеры длины, растяжка, нарезка)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3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Жгутирование кабеля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4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кабеля в короба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5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кабеля в короба (1м) Н&gt;2м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6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кабеля в межэтажный канал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7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жгутированного кабеля над фальшпотолком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8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кабеля в трубе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9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волоконно-оптического кабеля на стяжки в помещении (Н&gt;2м)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gridSpan w:val="5"/>
            <w:tcW w:w="1053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Монтаж информационных розеток</w:t>
            </w:r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10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Подключение розетки категории 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Подключение телефонной розетки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12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розетки в коробку для полых и капитальных стен (RJ-11, RJ-45, BNC)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13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розетки в короб (RJ-11, RJ-45, BNC)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14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розетки на стену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15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Маркировка розеток и портов (1 розетка, 1 порт кросса, 1 разъем)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16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Обжим коннектора RJ-11, RJ-45, BNC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17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Демонтаж и отключение розетки(RJ-11, RJ-45, BNC)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18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суппорта в кабельканал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19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точки доступа WiFi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gridSpan w:val="5"/>
            <w:tcW w:w="1053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u w:val="single"/>
              </w:rPr>
              <w:t xml:space="preserve">Монтаж телекоммуникационных шкафов, наполнение, подключение</w:t>
            </w:r>
            <w:r>
              <w:rPr>
                <w:b/>
                <w:highlight w:val="lightGray"/>
                <w:u w:val="single"/>
              </w:rPr>
            </w:r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20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шкафа 45 U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шкафа 42 U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шкафа 12U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шкафа 9U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шкафа 6U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кросс-панели в шкаф (стойку)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настенной Patch panel , соединительной муфты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панели питания в шкаф (стойку)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управляемой  панели питания в шкаф (стойку)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оптического бокса на стену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оптического бокса в шкаф (стойку)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Сварка оптических волокон в боксе (муфте)(до 150 шт) с подготовкой протоколов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Сварка оптических волокон в боксе (муфте)(от 150 шт) с подготовкой протоколов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Разделка и монтаж оптического кабеля в боксе (муфте)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Оконцовка оптического волокна ММ (1 разъем)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Оконцовка оптического волокна SМ (1 разъем)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Кроссирование кросс-панели (тип 110) - 1порт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патч-панели в шкаф (стойку)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19 " кронштейна на стену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Кроссирование Patch panel (обжим, разделка кабеля, жгутирование) - 1порт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Установка органайзера горизонтального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Установка органайзера вертикального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ИБП (до 5 U)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ИБП ( =&gt;5 U)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gridSpan w:val="5"/>
            <w:tcW w:w="1053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Монтаж кабеленесущих конструкций</w:t>
            </w:r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коробов на бетонные и кирпичные стены H&gt;2м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коробов на бетонные и кирпичные стены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коробов на стену из легких материалов H&gt;2м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коробов на стену из легких материалов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тонких коробов (&lt; 60 мм) на бетонные и кирпичные стены H&gt;2м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тонких коробов (&lt; 60 мм) на бетонные и кирпичные стены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тонких коробов (&lt; 60 мм) на стену из легких материалов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тонких коробов (&lt; 60 мм) на стену из легких материалов H&gt;2м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металлических коробов на бетонные и кирпичные стены H&gt;2м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металлических коробов на бетонные и кирпичные стены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металлических коробов на стену из легких материалов H&gt;2м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толстых металлических коробов на стену из легких материалов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Разборка и сборка установленных коробов (1 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Разборка и сборка установленных металлических коробов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металлических лотков 100 х 50 над фальшпотолком(1 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металлических лотков 200 х 50 над фальшпотолком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настенной консоли для крепления металлических лотков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крепления к потолку (DR) для металлических лотков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Монтаж поворотов металлических лотков (1 поворот)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трубы ПВХ за фальшпотлком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Укладка трубы ПВХ внутри полых стен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Крепление трубы ПВХ на стяжки (1м)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gridSpan w:val="5"/>
            <w:tcW w:w="1053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Тестирование</w:t>
            </w:r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Тестирование соединений (1 порт)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Измерение и паспортизация волоконно-оптических трактов (1 волокно)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Входной контроль отрезков оптического кабеля заказчика (1 волокно)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Быстрая проверка волоконно-оптического кабеля ( 1 волокно)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gridSpan w:val="5"/>
            <w:tcW w:w="10534" w:type="dxa"/>
            <w:vAlign w:val="top"/>
            <w:textDirection w:val="lrTb"/>
            <w:noWrap w:val="false"/>
          </w:tcPr>
          <w:p>
            <w:pPr>
              <w:pStyle w:val="57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Проектирование СКС (ЛВС, ВОЛС)</w:t>
            </w:r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Стоимость проектирования СКС (ЛВС) за м2 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Стоимость отрисовки планировок за м2 (при необходимости)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м2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>
              <w:t xml:space="preserve">Выезд, рабочий день проектировщика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  <w:tr>
        <w:trPr/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  <w:tc>
          <w:tcPr>
            <w:tcW w:w="1637" w:type="dxa"/>
            <w:vAlign w:val="top"/>
            <w:textDirection w:val="lrTb"/>
            <w:noWrap w:val="false"/>
          </w:tcPr>
          <w:p>
            <w:pPr>
              <w:pStyle w:val="575"/>
              <w:jc w:val="center"/>
            </w:pPr>
            <w:r/>
            <w:r/>
          </w:p>
        </w:tc>
      </w:tr>
    </w:tbl>
    <w:p>
      <w:pPr>
        <w:pStyle w:val="575"/>
        <w:jc w:val="center"/>
      </w:pPr>
      <w:r>
        <w:t xml:space="preserve"> </w:t>
      </w:r>
      <w:r/>
    </w:p>
    <w:sectPr>
      <w:headerReference w:type="default" r:id="rId8"/>
      <w:headerReference w:type="even" r:id="rId9"/>
      <w:footerReference w:type="default" r:id="rId10"/>
      <w:footnotePr/>
      <w:type w:val="nextPage"/>
      <w:pgSz w:w="11906" w:h="16838" w:orient="portrait"/>
      <w:pgMar w:top="284" w:right="794" w:bottom="284" w:left="794" w:header="284" w:footer="284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Calibri">
    <w:panose1 w:val="020F0502020204030204"/>
  </w:font>
  <w:font w:name="Verdana">
    <w:panose1 w:val="020B0604030504040204"/>
  </w:font>
  <w:font w:name="RotisSemiSans Light">
    <w:panose1 w:val="02010609060101010101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3"/>
      <w:jc w:val="right"/>
      <w:rPr>
        <w:sz w:val="20"/>
        <w:szCs w:val="20"/>
      </w:rPr>
    </w:pPr>
    <w:r>
      <w:rPr>
        <w:sz w:val="20"/>
        <w:szCs w:val="20"/>
      </w:rPr>
      <w:t xml:space="preserve">Страница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 xml:space="preserve"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 xml:space="preserve">7</w:t>
    </w:r>
    <w:r>
      <w:rPr>
        <w:b/>
        <w:sz w:val="20"/>
        <w:szCs w:val="20"/>
      </w:rPr>
      <w:fldChar w:fldCharType="end"/>
    </w:r>
    <w:r>
      <w:rPr>
        <w:sz w:val="20"/>
        <w:szCs w:val="20"/>
      </w:rPr>
    </w:r>
    <w:r/>
  </w:p>
  <w:p>
    <w:pPr>
      <w:pStyle w:val="593"/>
      <w:jc w:val="center"/>
    </w:pPr>
    <w:r/>
    <w:r/>
  </w:p>
  <w:p>
    <w:pPr>
      <w:pStyle w:val="5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9"/>
      <w:rPr>
        <w:rStyle w:val="590"/>
      </w:rPr>
      <w:framePr w:wrap="around" w:vAnchor="text" w:hAnchor="margin" w:xAlign="center" w:y="1"/>
    </w:pPr>
    <w:r>
      <w:rPr>
        <w:rStyle w:val="590"/>
      </w:rPr>
      <w:fldChar w:fldCharType="begin"/>
    </w:r>
    <w:r>
      <w:rPr>
        <w:rStyle w:val="590"/>
      </w:rPr>
      <w:instrText xml:space="preserve">PAGE  </w:instrText>
    </w:r>
    <w:r>
      <w:rPr>
        <w:rStyle w:val="590"/>
      </w:rPr>
      <w:fldChar w:fldCharType="separate"/>
    </w:r>
    <w:r>
      <w:rPr>
        <w:rStyle w:val="590"/>
      </w:rPr>
      <w:t xml:space="preserve">1</w:t>
    </w:r>
    <w:r>
      <w:rPr>
        <w:rStyle w:val="590"/>
      </w:rPr>
      <w:fldChar w:fldCharType="end"/>
    </w:r>
    <w:r>
      <w:rPr>
        <w:rStyle w:val="590"/>
      </w:rPr>
    </w:r>
    <w:r/>
  </w:p>
  <w:p>
    <w:pPr>
      <w:pStyle w:val="5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º"/>
      <w:lvlJc w:val="left"/>
      <w:pPr>
        <w:pStyle w:val="575"/>
        <w:ind w:left="360" w:hanging="360"/>
        <w:tabs>
          <w:tab w:val="left" w:pos="360" w:leader="none"/>
        </w:tabs>
      </w:pPr>
      <w:rPr>
        <w:rFonts w:ascii="Courier New" w:hAnsi="Courier New"/>
      </w:rPr>
    </w:lvl>
    <w:lvl w:ilvl="1">
      <w:start w:val="1"/>
      <w:numFmt w:val="bullet"/>
      <w:pStyle w:val="595"/>
      <w:isLgl w:val="false"/>
      <w:suff w:val="tab"/>
      <w:lvlText w:val=""/>
      <w:lvlJc w:val="left"/>
      <w:pPr>
        <w:pStyle w:val="575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pStyle w:val="575"/>
        <w:ind w:left="1080" w:hanging="360"/>
        <w:tabs>
          <w:tab w:val="left" w:pos="10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75"/>
        <w:ind w:left="1440" w:hanging="360"/>
        <w:tabs>
          <w:tab w:val="left" w:pos="14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"/>
      <w:lvlJc w:val="left"/>
      <w:pPr>
        <w:pStyle w:val="575"/>
        <w:ind w:left="1800" w:hanging="360"/>
        <w:tabs>
          <w:tab w:val="left" w:pos="180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"/>
      <w:lvlJc w:val="left"/>
      <w:pPr>
        <w:pStyle w:val="575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pStyle w:val="575"/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"/>
      <w:lvlJc w:val="left"/>
      <w:pPr>
        <w:pStyle w:val="575"/>
        <w:ind w:left="2880" w:hanging="360"/>
        <w:tabs>
          <w:tab w:val="left" w:pos="288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"/>
      <w:lvlJc w:val="left"/>
      <w:pPr>
        <w:pStyle w:val="575"/>
        <w:ind w:left="3240" w:hanging="360"/>
        <w:tabs>
          <w:tab w:val="left" w:pos="3240" w:leader="none"/>
        </w:tabs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5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5"/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5"/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5"/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5"/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5"/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5"/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5"/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5"/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5"/>
        <w:ind w:left="61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5"/>
        <w:ind w:left="6480" w:hanging="180"/>
      </w:pPr>
    </w:lvl>
  </w:abstractNum>
  <w:abstractNum w:abstractNumId="5">
    <w:multiLevelType w:val="hybridMultilevel"/>
    <w:lvl w:ilvl="0">
      <w:start w:val="1"/>
      <w:numFmt w:val="bullet"/>
      <w:pStyle w:val="600"/>
      <w:isLgl w:val="false"/>
      <w:suff w:val="tab"/>
      <w:lvlText w:val=""/>
      <w:lvlJc w:val="left"/>
      <w:pPr>
        <w:pStyle w:val="575"/>
        <w:ind w:left="644" w:hanging="360"/>
        <w:tabs>
          <w:tab w:val="left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575"/>
        <w:ind w:left="1364" w:hanging="360"/>
        <w:tabs>
          <w:tab w:val="left" w:pos="136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75"/>
        <w:ind w:left="2084" w:hanging="360"/>
        <w:tabs>
          <w:tab w:val="left" w:pos="208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75"/>
        <w:ind w:left="2804" w:hanging="360"/>
        <w:tabs>
          <w:tab w:val="left" w:pos="280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75"/>
        <w:ind w:left="3524" w:hanging="360"/>
        <w:tabs>
          <w:tab w:val="left" w:pos="3524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75"/>
        <w:ind w:left="4244" w:hanging="360"/>
        <w:tabs>
          <w:tab w:val="left" w:pos="424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75"/>
        <w:ind w:left="4964" w:hanging="360"/>
        <w:tabs>
          <w:tab w:val="left" w:pos="496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75"/>
        <w:ind w:left="5684" w:hanging="360"/>
        <w:tabs>
          <w:tab w:val="left" w:pos="5684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75"/>
        <w:ind w:left="6404" w:hanging="360"/>
        <w:tabs>
          <w:tab w:val="left" w:pos="6404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43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63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83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03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23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43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63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83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03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No Spacing"/>
    <w:qFormat/>
    <w:uiPriority w:val="1"/>
    <w:pPr>
      <w:spacing w:lineRule="auto" w:line="240" w:after="0" w:before="0"/>
    </w:pPr>
  </w:style>
  <w:style w:type="paragraph" w:styleId="423">
    <w:name w:val="Title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>
    <w:name w:val="Title Char"/>
    <w:link w:val="423"/>
    <w:uiPriority w:val="10"/>
    <w:rPr>
      <w:sz w:val="48"/>
      <w:szCs w:val="48"/>
    </w:rPr>
  </w:style>
  <w:style w:type="paragraph" w:styleId="425">
    <w:name w:val="Subtitle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>
    <w:name w:val="Subtitle Char"/>
    <w:link w:val="425"/>
    <w:uiPriority w:val="11"/>
    <w:rPr>
      <w:sz w:val="24"/>
      <w:szCs w:val="24"/>
    </w:rPr>
  </w:style>
  <w:style w:type="paragraph" w:styleId="427">
    <w:name w:val="Quote"/>
    <w:link w:val="428"/>
    <w:qFormat/>
    <w:uiPriority w:val="29"/>
    <w:rPr>
      <w:i/>
    </w:rPr>
    <w:pPr>
      <w:ind w:left="720" w:right="720"/>
    </w:pPr>
  </w:style>
  <w:style w:type="character" w:styleId="428">
    <w:name w:val="Quote Char"/>
    <w:link w:val="427"/>
    <w:uiPriority w:val="29"/>
    <w:rPr>
      <w:i/>
    </w:rPr>
  </w:style>
  <w:style w:type="paragraph" w:styleId="429">
    <w:name w:val="Intense Quote"/>
    <w:link w:val="4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>
    <w:name w:val="Intense Quote Char"/>
    <w:link w:val="429"/>
    <w:uiPriority w:val="30"/>
    <w:rPr>
      <w:i/>
    </w:rPr>
  </w:style>
  <w:style w:type="paragraph" w:styleId="431">
    <w:name w:val="Header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Header Char"/>
    <w:link w:val="431"/>
    <w:uiPriority w:val="99"/>
  </w:style>
  <w:style w:type="paragraph" w:styleId="433">
    <w:name w:val="Footer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Footer Char"/>
    <w:link w:val="433"/>
    <w:uiPriority w:val="99"/>
  </w:style>
  <w:style w:type="table" w:styleId="43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1">
    <w:name w:val="Hyperlink"/>
    <w:uiPriority w:val="99"/>
    <w:unhideWhenUsed/>
    <w:rPr>
      <w:color w:val="0000FF" w:themeColor="hyperlink"/>
      <w:u w:val="single"/>
    </w:rPr>
  </w:style>
  <w:style w:type="paragraph" w:styleId="562">
    <w:name w:val="footnote text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>
    <w:name w:val="Footnote Text Char"/>
    <w:link w:val="562"/>
    <w:uiPriority w:val="99"/>
    <w:rPr>
      <w:sz w:val="18"/>
    </w:rPr>
  </w:style>
  <w:style w:type="character" w:styleId="564">
    <w:name w:val="footnote reference"/>
    <w:uiPriority w:val="99"/>
    <w:unhideWhenUsed/>
    <w:rPr>
      <w:vertAlign w:val="superscript"/>
    </w:rPr>
  </w:style>
  <w:style w:type="paragraph" w:styleId="565">
    <w:name w:val="toc 1"/>
    <w:uiPriority w:val="39"/>
    <w:unhideWhenUsed/>
    <w:pPr>
      <w:ind w:left="0" w:right="0" w:firstLine="0"/>
      <w:spacing w:after="57"/>
    </w:pPr>
  </w:style>
  <w:style w:type="paragraph" w:styleId="566">
    <w:name w:val="toc 2"/>
    <w:uiPriority w:val="39"/>
    <w:unhideWhenUsed/>
    <w:pPr>
      <w:ind w:left="283" w:right="0" w:firstLine="0"/>
      <w:spacing w:after="57"/>
    </w:pPr>
  </w:style>
  <w:style w:type="paragraph" w:styleId="567">
    <w:name w:val="toc 3"/>
    <w:uiPriority w:val="39"/>
    <w:unhideWhenUsed/>
    <w:pPr>
      <w:ind w:left="567" w:right="0" w:firstLine="0"/>
      <w:spacing w:after="57"/>
    </w:pPr>
  </w:style>
  <w:style w:type="paragraph" w:styleId="568">
    <w:name w:val="toc 4"/>
    <w:uiPriority w:val="39"/>
    <w:unhideWhenUsed/>
    <w:pPr>
      <w:ind w:left="850" w:right="0" w:firstLine="0"/>
      <w:spacing w:after="57"/>
    </w:pPr>
  </w:style>
  <w:style w:type="paragraph" w:styleId="569">
    <w:name w:val="toc 5"/>
    <w:uiPriority w:val="39"/>
    <w:unhideWhenUsed/>
    <w:pPr>
      <w:ind w:left="1134" w:right="0" w:firstLine="0"/>
      <w:spacing w:after="57"/>
    </w:pPr>
  </w:style>
  <w:style w:type="paragraph" w:styleId="570">
    <w:name w:val="toc 6"/>
    <w:uiPriority w:val="39"/>
    <w:unhideWhenUsed/>
    <w:pPr>
      <w:ind w:left="1417" w:right="0" w:firstLine="0"/>
      <w:spacing w:after="57"/>
    </w:pPr>
  </w:style>
  <w:style w:type="paragraph" w:styleId="571">
    <w:name w:val="toc 7"/>
    <w:uiPriority w:val="39"/>
    <w:unhideWhenUsed/>
    <w:pPr>
      <w:ind w:left="1701" w:right="0" w:firstLine="0"/>
      <w:spacing w:after="57"/>
    </w:pPr>
  </w:style>
  <w:style w:type="paragraph" w:styleId="572">
    <w:name w:val="toc 8"/>
    <w:uiPriority w:val="39"/>
    <w:unhideWhenUsed/>
    <w:pPr>
      <w:ind w:left="1984" w:right="0" w:firstLine="0"/>
      <w:spacing w:after="57"/>
    </w:pPr>
  </w:style>
  <w:style w:type="paragraph" w:styleId="573">
    <w:name w:val="toc 9"/>
    <w:uiPriority w:val="39"/>
    <w:unhideWhenUsed/>
    <w:pPr>
      <w:ind w:left="2268" w:right="0" w:firstLine="0"/>
      <w:spacing w:after="57"/>
    </w:pPr>
  </w:style>
  <w:style w:type="paragraph" w:styleId="574">
    <w:name w:val="TOC Heading"/>
    <w:uiPriority w:val="39"/>
    <w:unhideWhenUsed/>
  </w:style>
  <w:style w:type="paragraph" w:styleId="575">
    <w:name w:val="Обычный"/>
    <w:next w:val="575"/>
    <w:link w:val="575"/>
    <w:rPr>
      <w:sz w:val="24"/>
      <w:szCs w:val="24"/>
      <w:lang w:val="ru-RU" w:bidi="ar-SA" w:eastAsia="ru-RU"/>
    </w:rPr>
  </w:style>
  <w:style w:type="paragraph" w:styleId="576">
    <w:name w:val="Заголовок 1"/>
    <w:basedOn w:val="575"/>
    <w:next w:val="575"/>
    <w:link w:val="575"/>
    <w:rPr>
      <w:b/>
      <w:bCs/>
    </w:rPr>
    <w:pPr>
      <w:jc w:val="center"/>
      <w:keepNext/>
      <w:outlineLvl w:val="0"/>
    </w:pPr>
  </w:style>
  <w:style w:type="paragraph" w:styleId="577">
    <w:name w:val="Заголовок 2"/>
    <w:basedOn w:val="575"/>
    <w:next w:val="575"/>
    <w:link w:val="575"/>
    <w:rPr>
      <w:szCs w:val="20"/>
    </w:rPr>
    <w:pPr>
      <w:keepNext/>
      <w:tabs>
        <w:tab w:val="left" w:pos="6600" w:leader="none"/>
      </w:tabs>
      <w:outlineLvl w:val="1"/>
    </w:pPr>
  </w:style>
  <w:style w:type="paragraph" w:styleId="578">
    <w:name w:val="Заголовок 3"/>
    <w:basedOn w:val="575"/>
    <w:next w:val="575"/>
    <w:link w:val="575"/>
    <w:rPr>
      <w:szCs w:val="20"/>
    </w:rPr>
    <w:pPr>
      <w:keepNext/>
      <w:outlineLvl w:val="2"/>
    </w:pPr>
  </w:style>
  <w:style w:type="paragraph" w:styleId="579">
    <w:name w:val="Заголовок 5"/>
    <w:basedOn w:val="575"/>
    <w:next w:val="575"/>
    <w:link w:val="575"/>
    <w:rPr>
      <w:b/>
      <w:bCs/>
      <w:sz w:val="28"/>
    </w:rPr>
    <w:pPr>
      <w:jc w:val="center"/>
      <w:keepNext/>
      <w:outlineLvl w:val="4"/>
    </w:pPr>
  </w:style>
  <w:style w:type="paragraph" w:styleId="580">
    <w:name w:val="Заголовок 6"/>
    <w:basedOn w:val="575"/>
    <w:next w:val="575"/>
    <w:link w:val="575"/>
    <w:rPr>
      <w:b/>
      <w:bCs/>
      <w:color w:val="000000"/>
    </w:rPr>
    <w:pPr>
      <w:keepNext/>
      <w:outlineLvl w:val="5"/>
    </w:pPr>
  </w:style>
  <w:style w:type="paragraph" w:styleId="581">
    <w:name w:val="Заголовок 7"/>
    <w:basedOn w:val="575"/>
    <w:next w:val="575"/>
    <w:link w:val="575"/>
    <w:rPr>
      <w:rFonts w:ascii="Arial" w:hAnsi="Arial"/>
      <w:b/>
      <w:bCs/>
      <w:color w:val="000000"/>
      <w:szCs w:val="20"/>
    </w:rPr>
    <w:pPr>
      <w:jc w:val="center"/>
      <w:keepNext/>
      <w:outlineLvl w:val="6"/>
    </w:pPr>
  </w:style>
  <w:style w:type="character" w:styleId="582">
    <w:name w:val="Основной шрифт абзаца"/>
    <w:next w:val="582"/>
    <w:link w:val="575"/>
    <w:semiHidden/>
  </w:style>
  <w:style w:type="table" w:styleId="583">
    <w:name w:val="Обычная таблица"/>
    <w:next w:val="583"/>
    <w:link w:val="575"/>
    <w:semiHidden/>
    <w:tblPr/>
  </w:style>
  <w:style w:type="numbering" w:styleId="584">
    <w:name w:val="Нет списка"/>
    <w:next w:val="584"/>
    <w:link w:val="575"/>
    <w:semiHidden/>
  </w:style>
  <w:style w:type="paragraph" w:styleId="585">
    <w:name w:val="Название"/>
    <w:basedOn w:val="575"/>
    <w:next w:val="585"/>
    <w:link w:val="607"/>
    <w:rPr>
      <w:sz w:val="28"/>
      <w:szCs w:val="20"/>
    </w:rPr>
    <w:pPr>
      <w:jc w:val="center"/>
    </w:pPr>
  </w:style>
  <w:style w:type="paragraph" w:styleId="586">
    <w:name w:val="Обычный (веб)"/>
    <w:basedOn w:val="575"/>
    <w:next w:val="586"/>
    <w:link w:val="575"/>
    <w:pPr>
      <w:spacing w:after="100" w:afterAutospacing="1" w:before="100" w:beforeAutospacing="1"/>
    </w:pPr>
  </w:style>
  <w:style w:type="paragraph" w:styleId="587">
    <w:name w:val="Подзаголовок"/>
    <w:basedOn w:val="575"/>
    <w:next w:val="587"/>
    <w:link w:val="575"/>
    <w:rPr>
      <w:b/>
      <w:bCs/>
      <w:szCs w:val="20"/>
    </w:rPr>
    <w:pPr>
      <w:ind w:firstLine="720"/>
      <w:jc w:val="right"/>
    </w:pPr>
  </w:style>
  <w:style w:type="paragraph" w:styleId="588">
    <w:name w:val="Основной текст 3"/>
    <w:basedOn w:val="575"/>
    <w:next w:val="588"/>
    <w:link w:val="575"/>
    <w:rPr>
      <w:u w:val="single"/>
    </w:rPr>
    <w:pPr>
      <w:jc w:val="center"/>
    </w:pPr>
  </w:style>
  <w:style w:type="paragraph" w:styleId="589">
    <w:name w:val="Верхний колонтитул"/>
    <w:basedOn w:val="575"/>
    <w:next w:val="589"/>
    <w:link w:val="608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590">
    <w:name w:val="Номер страницы"/>
    <w:basedOn w:val="582"/>
    <w:next w:val="590"/>
    <w:link w:val="575"/>
  </w:style>
  <w:style w:type="paragraph" w:styleId="591">
    <w:name w:val="Основной текст 2"/>
    <w:basedOn w:val="575"/>
    <w:next w:val="591"/>
    <w:link w:val="575"/>
    <w:rPr>
      <w:rFonts w:ascii="Tahoma" w:hAnsi="Tahoma"/>
      <w:bCs/>
      <w:szCs w:val="20"/>
    </w:rPr>
    <w:pPr>
      <w:jc w:val="both"/>
      <w:spacing w:lineRule="auto" w:line="360"/>
    </w:pPr>
  </w:style>
  <w:style w:type="paragraph" w:styleId="592">
    <w:name w:val="Основной текст с отступом"/>
    <w:basedOn w:val="575"/>
    <w:next w:val="592"/>
    <w:link w:val="609"/>
    <w:pPr>
      <w:ind w:firstLine="708"/>
      <w:jc w:val="both"/>
    </w:pPr>
  </w:style>
  <w:style w:type="paragraph" w:styleId="593">
    <w:name w:val="Нижний колонтитул"/>
    <w:basedOn w:val="575"/>
    <w:next w:val="593"/>
    <w:link w:val="622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paragraph" w:styleId="594">
    <w:name w:val="Оглавление 1"/>
    <w:basedOn w:val="575"/>
    <w:next w:val="575"/>
    <w:link w:val="575"/>
    <w:semiHidden/>
  </w:style>
  <w:style w:type="paragraph" w:styleId="595">
    <w:name w:val="Оглавление 2"/>
    <w:basedOn w:val="575"/>
    <w:next w:val="575"/>
    <w:link w:val="575"/>
    <w:semiHidden/>
    <w:rPr>
      <w:rFonts w:ascii="Tahoma" w:hAnsi="Tahoma"/>
    </w:rPr>
    <w:pPr>
      <w:numPr>
        <w:ilvl w:val="1"/>
        <w:numId w:val="1"/>
      </w:numPr>
      <w:spacing w:lineRule="auto" w:line="360"/>
      <w:tabs>
        <w:tab w:val="right" w:pos="10055" w:leader="none"/>
      </w:tabs>
    </w:pPr>
  </w:style>
  <w:style w:type="paragraph" w:styleId="596">
    <w:name w:val="Основной текст с отступом 2"/>
    <w:basedOn w:val="575"/>
    <w:next w:val="596"/>
    <w:link w:val="575"/>
    <w:rPr>
      <w:szCs w:val="19"/>
    </w:rPr>
    <w:pPr>
      <w:ind w:left="720"/>
      <w:spacing w:lineRule="auto" w:line="360"/>
    </w:pPr>
  </w:style>
  <w:style w:type="paragraph" w:styleId="597">
    <w:name w:val="Iau?iue"/>
    <w:next w:val="597"/>
    <w:link w:val="575"/>
    <w:rPr>
      <w:sz w:val="24"/>
      <w:lang w:val="ru-RU" w:bidi="ar-SA" w:eastAsia="en-US"/>
    </w:rPr>
  </w:style>
  <w:style w:type="paragraph" w:styleId="598">
    <w:name w:val="Основной текст с отступом 3"/>
    <w:basedOn w:val="575"/>
    <w:next w:val="598"/>
    <w:link w:val="575"/>
    <w:rPr>
      <w:szCs w:val="19"/>
    </w:rPr>
    <w:pPr>
      <w:ind w:firstLine="708"/>
      <w:spacing w:lineRule="auto" w:line="360"/>
    </w:pPr>
  </w:style>
  <w:style w:type="character" w:styleId="599">
    <w:name w:val="Гиперссылка"/>
    <w:next w:val="599"/>
    <w:link w:val="575"/>
    <w:rPr>
      <w:color w:val="0000CC"/>
      <w:u w:val="single"/>
    </w:rPr>
  </w:style>
  <w:style w:type="paragraph" w:styleId="600">
    <w:name w:val="Заголовок14 обычный"/>
    <w:next w:val="600"/>
    <w:link w:val="575"/>
    <w:rPr>
      <w:sz w:val="28"/>
      <w:szCs w:val="28"/>
      <w:lang w:val="ru-RU" w:bidi="ar-SA" w:eastAsia="en-US"/>
    </w:rPr>
    <w:pPr>
      <w:numPr>
        <w:ilvl w:val="0"/>
        <w:numId w:val="2"/>
      </w:numPr>
      <w:ind w:left="851" w:hanging="284"/>
      <w:jc w:val="both"/>
      <w:spacing w:before="100" w:beforeAutospacing="1"/>
    </w:pPr>
  </w:style>
  <w:style w:type="paragraph" w:styleId="601">
    <w:name w:val="p11"/>
    <w:basedOn w:val="575"/>
    <w:next w:val="601"/>
    <w:link w:val="575"/>
    <w:pPr>
      <w:ind w:left="750"/>
      <w:spacing w:after="360" w:before="100" w:beforeAutospacing="1"/>
    </w:pPr>
  </w:style>
  <w:style w:type="paragraph" w:styleId="602">
    <w:name w:val="Основной текст"/>
    <w:basedOn w:val="575"/>
    <w:next w:val="602"/>
    <w:link w:val="575"/>
    <w:pPr>
      <w:spacing w:after="120"/>
    </w:pPr>
  </w:style>
  <w:style w:type="paragraph" w:styleId="603">
    <w:name w:val="xl24"/>
    <w:basedOn w:val="575"/>
    <w:next w:val="603"/>
    <w:link w:val="575"/>
    <w:rPr>
      <w:rFonts w:ascii="RotisSemiSans Light" w:hAnsi="RotisSemiSans Light"/>
      <w:sz w:val="22"/>
      <w:szCs w:val="22"/>
    </w:rPr>
    <w:pPr>
      <w:spacing w:after="100" w:afterAutospacing="1" w:before="100" w:beforeAutospacing="1"/>
    </w:pPr>
  </w:style>
  <w:style w:type="table" w:styleId="604">
    <w:name w:val="Сетка таблицы"/>
    <w:basedOn w:val="583"/>
    <w:next w:val="604"/>
    <w:link w:val="575"/>
    <w:tblPr/>
  </w:style>
  <w:style w:type="paragraph" w:styleId="605">
    <w:name w:val=" Знак"/>
    <w:basedOn w:val="575"/>
    <w:next w:val="605"/>
    <w:link w:val="575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606">
    <w:name w:val=" Знак Знак Знак Знак"/>
    <w:basedOn w:val="575"/>
    <w:next w:val="606"/>
    <w:link w:val="575"/>
    <w:rPr>
      <w:rFonts w:ascii="Verdana" w:hAnsi="Verdana"/>
      <w:lang w:val="en-US" w:eastAsia="en-US"/>
    </w:rPr>
    <w:pPr>
      <w:spacing w:lineRule="exact" w:line="240" w:after="160"/>
    </w:pPr>
  </w:style>
  <w:style w:type="character" w:styleId="607">
    <w:name w:val="Название Знак"/>
    <w:next w:val="607"/>
    <w:link w:val="585"/>
    <w:rPr>
      <w:sz w:val="28"/>
      <w:lang w:val="ru-RU" w:bidi="ar-SA" w:eastAsia="ru-RU"/>
    </w:rPr>
  </w:style>
  <w:style w:type="character" w:styleId="608">
    <w:name w:val="Верхний колонтитул Знак"/>
    <w:next w:val="608"/>
    <w:link w:val="589"/>
    <w:rPr>
      <w:lang w:val="ru-RU" w:bidi="ar-SA" w:eastAsia="ru-RU"/>
    </w:rPr>
  </w:style>
  <w:style w:type="character" w:styleId="609">
    <w:name w:val="Основной текст с отступом Знак"/>
    <w:next w:val="609"/>
    <w:link w:val="592"/>
    <w:semiHidden/>
    <w:rPr>
      <w:sz w:val="24"/>
      <w:szCs w:val="24"/>
      <w:lang w:val="ru-RU" w:bidi="ar-SA" w:eastAsia="ru-RU"/>
    </w:rPr>
  </w:style>
  <w:style w:type="paragraph" w:styleId="610">
    <w:name w:val="List Paragraph"/>
    <w:basedOn w:val="575"/>
    <w:next w:val="610"/>
    <w:link w:val="575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11">
    <w:name w:val="Содержимое таблицы"/>
    <w:basedOn w:val="575"/>
    <w:next w:val="611"/>
    <w:link w:val="575"/>
    <w:rPr>
      <w:rFonts w:eastAsia="SimSun"/>
      <w:sz w:val="20"/>
      <w:lang w:bidi="hi-IN" w:eastAsia="hi-IN"/>
    </w:rPr>
    <w:pPr>
      <w:widowControl w:val="off"/>
    </w:pPr>
  </w:style>
  <w:style w:type="table" w:styleId="612">
    <w:name w:val="Средняя сетка 3 - Акцент 3"/>
    <w:basedOn w:val="583"/>
    <w:next w:val="612"/>
    <w:link w:val="575"/>
    <w:tblPr/>
  </w:style>
  <w:style w:type="table" w:styleId="613">
    <w:name w:val="Простая таблица 2"/>
    <w:basedOn w:val="583"/>
    <w:next w:val="613"/>
    <w:link w:val="575"/>
    <w:tblPr/>
  </w:style>
  <w:style w:type="paragraph" w:styleId="614">
    <w:name w:val="Текст выноски"/>
    <w:basedOn w:val="575"/>
    <w:next w:val="614"/>
    <w:link w:val="615"/>
    <w:rPr>
      <w:rFonts w:ascii="Tahoma" w:hAnsi="Tahoma"/>
      <w:sz w:val="16"/>
      <w:szCs w:val="16"/>
      <w:lang w:val="en-US" w:eastAsia="en-US"/>
    </w:rPr>
  </w:style>
  <w:style w:type="character" w:styleId="615">
    <w:name w:val="Текст выноски Знак"/>
    <w:next w:val="615"/>
    <w:link w:val="614"/>
    <w:rPr>
      <w:rFonts w:ascii="Tahoma" w:hAnsi="Tahoma"/>
      <w:sz w:val="16"/>
      <w:szCs w:val="16"/>
    </w:rPr>
  </w:style>
  <w:style w:type="character" w:styleId="616">
    <w:name w:val="Знак примечания"/>
    <w:next w:val="616"/>
    <w:link w:val="575"/>
    <w:rPr>
      <w:sz w:val="16"/>
      <w:szCs w:val="16"/>
    </w:rPr>
  </w:style>
  <w:style w:type="paragraph" w:styleId="617">
    <w:name w:val="Текст примечания"/>
    <w:basedOn w:val="575"/>
    <w:next w:val="617"/>
    <w:link w:val="618"/>
    <w:rPr>
      <w:sz w:val="20"/>
      <w:szCs w:val="20"/>
    </w:rPr>
  </w:style>
  <w:style w:type="character" w:styleId="618">
    <w:name w:val="Текст примечания Знак"/>
    <w:basedOn w:val="582"/>
    <w:next w:val="618"/>
    <w:link w:val="617"/>
  </w:style>
  <w:style w:type="paragraph" w:styleId="619">
    <w:name w:val="Тема примечания"/>
    <w:basedOn w:val="617"/>
    <w:next w:val="617"/>
    <w:link w:val="620"/>
    <w:rPr>
      <w:b/>
      <w:bCs/>
      <w:lang w:val="en-US" w:eastAsia="en-US"/>
    </w:rPr>
  </w:style>
  <w:style w:type="character" w:styleId="620">
    <w:name w:val="Тема примечания Знак"/>
    <w:next w:val="620"/>
    <w:link w:val="619"/>
    <w:rPr>
      <w:b/>
      <w:bCs/>
    </w:rPr>
  </w:style>
  <w:style w:type="paragraph" w:styleId="621">
    <w:name w:val="Абзац списка1"/>
    <w:basedOn w:val="575"/>
    <w:next w:val="621"/>
    <w:link w:val="575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622">
    <w:name w:val="Нижний колонтитул Знак"/>
    <w:next w:val="622"/>
    <w:link w:val="593"/>
    <w:rPr>
      <w:sz w:val="24"/>
      <w:szCs w:val="24"/>
    </w:rPr>
  </w:style>
  <w:style w:type="paragraph" w:styleId="623">
    <w:name w:val="Текст концевой сноски"/>
    <w:basedOn w:val="575"/>
    <w:next w:val="623"/>
    <w:link w:val="624"/>
    <w:rPr>
      <w:sz w:val="20"/>
      <w:szCs w:val="20"/>
    </w:rPr>
  </w:style>
  <w:style w:type="character" w:styleId="624">
    <w:name w:val="Текст концевой сноски Знак"/>
    <w:basedOn w:val="582"/>
    <w:next w:val="624"/>
    <w:link w:val="623"/>
  </w:style>
  <w:style w:type="character" w:styleId="625">
    <w:name w:val="Знак концевой сноски"/>
    <w:next w:val="625"/>
    <w:link w:val="575"/>
    <w:rPr>
      <w:vertAlign w:val="superscript"/>
    </w:rPr>
  </w:style>
  <w:style w:type="character" w:styleId="626">
    <w:name w:val="Выделение"/>
    <w:next w:val="626"/>
    <w:link w:val="575"/>
    <w:rPr>
      <w:i/>
      <w:iCs/>
    </w:rPr>
  </w:style>
  <w:style w:type="character" w:styleId="627" w:default="1">
    <w:name w:val="Default Paragraph Font"/>
    <w:uiPriority w:val="1"/>
    <w:semiHidden/>
    <w:unhideWhenUsed/>
  </w:style>
  <w:style w:type="numbering" w:styleId="628" w:default="1">
    <w:name w:val="No List"/>
    <w:uiPriority w:val="99"/>
    <w:semiHidden/>
    <w:unhideWhenUsed/>
  </w:style>
  <w:style w:type="paragraph" w:styleId="629" w:default="1">
    <w:name w:val="Normal"/>
    <w:qFormat/>
  </w:style>
  <w:style w:type="table" w:styleId="6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ONLYOFFICE/5.4.2.54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Капичников Дмитрий</cp:lastModifiedBy>
  <cp:revision>2</cp:revision>
  <dcterms:modified xsi:type="dcterms:W3CDTF">2020-12-15T11:40:39Z</dcterms:modified>
</cp:coreProperties>
</file>