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B35645">
        <w:rPr>
          <w:b/>
          <w:bCs/>
        </w:rPr>
        <w:t>открытого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EC1E20">
        <w:rPr>
          <w:b/>
        </w:rPr>
        <w:t>Аттестация методик анализа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>АО «НИИМЭ»,124460, г. Москва, г. Зеленоград, Западный 1-й проезд, 12 стр.1</w:t>
      </w:r>
      <w:r w:rsidRPr="00AD3FCC">
        <w:rPr>
          <w:b/>
          <w:sz w:val="24"/>
          <w:szCs w:val="24"/>
        </w:rPr>
        <w:t>.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(985) 340 03 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r w:rsidR="005E5211" w:rsidRPr="00D52770">
          <w:rPr>
            <w:rStyle w:val="a5"/>
            <w:sz w:val="24"/>
            <w:szCs w:val="24"/>
            <w:lang w:val="en-US"/>
          </w:rPr>
          <w:t>ru</w:t>
        </w:r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r w:rsidR="005E5211" w:rsidRPr="00EB3DB6">
          <w:rPr>
            <w:rStyle w:val="a5"/>
            <w:sz w:val="24"/>
            <w:szCs w:val="24"/>
          </w:rPr>
          <w:t>.</w:t>
        </w:r>
        <w:r w:rsidR="005E5211" w:rsidRPr="00EB3DB6">
          <w:rPr>
            <w:rStyle w:val="a5"/>
            <w:sz w:val="24"/>
            <w:szCs w:val="24"/>
            <w:lang w:val="en-US"/>
          </w:rPr>
          <w:t>ru</w:t>
        </w:r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r w:rsidRPr="00B35645">
        <w:rPr>
          <w:b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494E41">
        <w:rPr>
          <w:b/>
          <w:sz w:val="24"/>
          <w:szCs w:val="24"/>
          <w:u w:val="single"/>
        </w:rPr>
        <w:t>2</w:t>
      </w:r>
      <w:r w:rsidR="00F953A4">
        <w:rPr>
          <w:b/>
          <w:sz w:val="24"/>
          <w:szCs w:val="24"/>
          <w:u w:val="single"/>
        </w:rPr>
        <w:t>8</w:t>
      </w:r>
      <w:r w:rsidR="00494E41">
        <w:rPr>
          <w:b/>
          <w:sz w:val="24"/>
          <w:szCs w:val="24"/>
          <w:u w:val="single"/>
        </w:rPr>
        <w:t>.07</w:t>
      </w:r>
      <w:r w:rsidR="00B35645" w:rsidRPr="00B35645">
        <w:rPr>
          <w:b/>
          <w:sz w:val="24"/>
          <w:szCs w:val="24"/>
          <w:u w:val="single"/>
        </w:rPr>
        <w:t>.</w:t>
      </w:r>
      <w:r w:rsidR="00B5623A" w:rsidRPr="00B35645">
        <w:rPr>
          <w:b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18533A">
        <w:rPr>
          <w:b/>
          <w:sz w:val="24"/>
          <w:szCs w:val="24"/>
        </w:rPr>
        <w:t>Аттестация методик анализа</w:t>
      </w:r>
      <w:r w:rsidR="00AB21DB">
        <w:rPr>
          <w:sz w:val="24"/>
          <w:szCs w:val="24"/>
        </w:rPr>
        <w:t xml:space="preserve">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DB6194" w:rsidRDefault="00DB6194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DB6194" w:rsidRDefault="00DB6194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DB6194" w:rsidRDefault="00DB6194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tbl>
      <w:tblPr>
        <w:tblStyle w:val="TableStyle0"/>
        <w:tblW w:w="10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57"/>
        <w:gridCol w:w="109"/>
        <w:gridCol w:w="11"/>
        <w:gridCol w:w="66"/>
        <w:gridCol w:w="1593"/>
        <w:gridCol w:w="79"/>
        <w:gridCol w:w="79"/>
        <w:gridCol w:w="79"/>
        <w:gridCol w:w="146"/>
        <w:gridCol w:w="136"/>
        <w:gridCol w:w="128"/>
        <w:gridCol w:w="2211"/>
        <w:gridCol w:w="976"/>
        <w:gridCol w:w="82"/>
        <w:gridCol w:w="20"/>
        <w:gridCol w:w="166"/>
        <w:gridCol w:w="151"/>
        <w:gridCol w:w="55"/>
        <w:gridCol w:w="57"/>
        <w:gridCol w:w="20"/>
        <w:gridCol w:w="20"/>
        <w:gridCol w:w="721"/>
        <w:gridCol w:w="742"/>
        <w:gridCol w:w="740"/>
        <w:gridCol w:w="54"/>
        <w:gridCol w:w="35"/>
        <w:gridCol w:w="94"/>
        <w:gridCol w:w="84"/>
        <w:gridCol w:w="598"/>
        <w:gridCol w:w="11"/>
        <w:gridCol w:w="1212"/>
      </w:tblGrid>
      <w:tr w:rsidR="00DB6194" w:rsidRPr="00DB6194" w:rsidTr="00DB6194">
        <w:trPr>
          <w:gridAfter w:val="1"/>
          <w:wAfter w:w="1212" w:type="dxa"/>
        </w:trPr>
        <w:tc>
          <w:tcPr>
            <w:tcW w:w="2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57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7" w:type="dxa"/>
            <w:gridSpan w:val="2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593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28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87" w:type="dxa"/>
            <w:gridSpan w:val="2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5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7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57" w:type="dxa"/>
            <w:gridSpan w:val="4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84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</w:tr>
      <w:tr w:rsidR="00DB6194" w:rsidRPr="00DB6194" w:rsidTr="00DB6194">
        <w:tc>
          <w:tcPr>
            <w:tcW w:w="2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№ п/п</w:t>
            </w:r>
          </w:p>
        </w:tc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Документ устанавливающий требования</w:t>
            </w:r>
            <w:r w:rsidRPr="00DB6194">
              <w:rPr>
                <w:sz w:val="24"/>
                <w:szCs w:val="24"/>
              </w:rPr>
              <w:br/>
              <w:t>(ГОСТ ,ТУ, ОСТ, спецификация или др.)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Количество</w:t>
            </w: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Единица</w:t>
            </w:r>
            <w:r w:rsidRPr="00DB619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Цена за единицу</w:t>
            </w:r>
            <w:r w:rsidRPr="00DB6194">
              <w:rPr>
                <w:sz w:val="24"/>
                <w:szCs w:val="24"/>
              </w:rPr>
              <w:br/>
              <w:t>без НДС</w:t>
            </w: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Сумма</w:t>
            </w:r>
            <w:r w:rsidRPr="00DB6194">
              <w:rPr>
                <w:sz w:val="24"/>
                <w:szCs w:val="24"/>
              </w:rPr>
              <w:br/>
              <w:t>без НДС</w:t>
            </w:r>
          </w:p>
        </w:tc>
      </w:tr>
      <w:tr w:rsidR="00DB6194" w:rsidRPr="00DB6194" w:rsidTr="00DB6194">
        <w:tc>
          <w:tcPr>
            <w:tcW w:w="2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проведение аттестации: методики измерений массовой доли воды в антиотражающем покрытии (АОП) методом кулонометрического титрования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Согласно спецификации производителя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6194" w:rsidRPr="00DB6194" w:rsidTr="00DB6194">
        <w:tc>
          <w:tcPr>
            <w:tcW w:w="2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2</w:t>
            </w:r>
          </w:p>
        </w:tc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проведение аттестации: методики измерений массовой доли элементов в антиотражающем покрытии (АОП) методом атомно-эмиссионной спектрометрии (10 элементов)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Согласно спецификации производителя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6194" w:rsidRPr="00DB6194" w:rsidTr="00DB6194">
        <w:tc>
          <w:tcPr>
            <w:tcW w:w="26" w:type="dxa"/>
            <w:shd w:val="clear" w:color="FFFFFF" w:fill="auto"/>
            <w:vAlign w:val="bottom"/>
          </w:tcPr>
          <w:p w:rsidR="00DB6194" w:rsidRPr="00DB6194" w:rsidRDefault="00DB6194" w:rsidP="00DB6194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3</w:t>
            </w:r>
          </w:p>
        </w:tc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проведение аттестации:            методики измерений вязкости антиотражающего покрытия (АОП) методом ротационной  реометрии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 w:rsidRPr="00DB6194">
              <w:rPr>
                <w:sz w:val="24"/>
                <w:szCs w:val="24"/>
              </w:rPr>
              <w:t>Согласно спецификации производителя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194" w:rsidRPr="00DB6194" w:rsidRDefault="00DB6194" w:rsidP="00DB61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21795B">
        <w:rPr>
          <w:rFonts w:eastAsia="Calibri"/>
          <w:sz w:val="24"/>
          <w:szCs w:val="24"/>
          <w:lang w:eastAsia="en-US"/>
        </w:rPr>
        <w:t>ул. Академика Валиева</w:t>
      </w:r>
      <w:r w:rsidRPr="00DB67B0">
        <w:rPr>
          <w:rFonts w:eastAsia="Calibri"/>
          <w:sz w:val="24"/>
          <w:szCs w:val="24"/>
          <w:lang w:eastAsia="en-US"/>
        </w:rPr>
        <w:t>,</w:t>
      </w:r>
      <w:r w:rsidR="0021795B">
        <w:rPr>
          <w:rFonts w:eastAsia="Calibri"/>
          <w:sz w:val="24"/>
          <w:szCs w:val="24"/>
          <w:lang w:eastAsia="en-US"/>
        </w:rPr>
        <w:t xml:space="preserve"> 6</w:t>
      </w:r>
      <w:r w:rsidRPr="00DB67B0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поставки. </w:t>
      </w:r>
    </w:p>
    <w:p w:rsidR="00DB67B0" w:rsidRPr="005A42EB" w:rsidRDefault="0039375D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5A42EB">
        <w:rPr>
          <w:rFonts w:eastAsia="Calibri"/>
          <w:sz w:val="24"/>
          <w:szCs w:val="24"/>
          <w:lang w:eastAsia="en-US"/>
        </w:rPr>
        <w:t>Аванс не более 5</w:t>
      </w:r>
      <w:r w:rsidR="00DB67B0" w:rsidRPr="005A42EB">
        <w:rPr>
          <w:rFonts w:eastAsia="Calibri"/>
          <w:sz w:val="24"/>
          <w:szCs w:val="24"/>
          <w:lang w:eastAsia="en-US"/>
        </w:rPr>
        <w:t>0%</w:t>
      </w:r>
      <w:r w:rsidR="002E7E75" w:rsidRPr="005A42EB">
        <w:rPr>
          <w:rFonts w:eastAsia="Calibri"/>
          <w:sz w:val="24"/>
          <w:szCs w:val="24"/>
          <w:lang w:eastAsia="en-US"/>
        </w:rPr>
        <w:t xml:space="preserve"> 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6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lastRenderedPageBreak/>
        <w:t>3. Требование к Участнику и документы, подлежащие обязательному предоставлению</w:t>
      </w:r>
      <w:bookmarkEnd w:id="37"/>
      <w:bookmarkEnd w:id="38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044714">
        <w:rPr>
          <w:b w:val="0"/>
          <w:bCs w:val="0"/>
          <w:color w:val="FF0000"/>
          <w:sz w:val="24"/>
          <w:szCs w:val="24"/>
        </w:rPr>
        <w:t>2000</w:t>
      </w:r>
      <w:r w:rsidR="005A42EB">
        <w:rPr>
          <w:b w:val="0"/>
          <w:bCs w:val="0"/>
          <w:color w:val="FF0000"/>
          <w:sz w:val="24"/>
          <w:szCs w:val="24"/>
        </w:rPr>
        <w:t>43</w:t>
      </w:r>
      <w:bookmarkStart w:id="58" w:name="_GoBack"/>
      <w:bookmarkEnd w:id="58"/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CB" w:rsidRDefault="00935FCB" w:rsidP="00B768EC">
      <w:pPr>
        <w:spacing w:line="240" w:lineRule="auto"/>
      </w:pPr>
      <w:r>
        <w:separator/>
      </w:r>
    </w:p>
  </w:endnote>
  <w:endnote w:type="continuationSeparator" w:id="0">
    <w:p w:rsidR="00935FCB" w:rsidRDefault="00935FC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2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CB" w:rsidRDefault="00935FCB" w:rsidP="00B768EC">
      <w:pPr>
        <w:spacing w:line="240" w:lineRule="auto"/>
      </w:pPr>
      <w:r>
        <w:separator/>
      </w:r>
    </w:p>
  </w:footnote>
  <w:footnote w:type="continuationSeparator" w:id="0">
    <w:p w:rsidR="00935FCB" w:rsidRDefault="00935FCB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2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8533A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1795B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75D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94E41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204F"/>
    <w:rsid w:val="005A336D"/>
    <w:rsid w:val="005A42EB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7FF9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87A13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35FCB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5645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70CC"/>
    <w:rsid w:val="00D94057"/>
    <w:rsid w:val="00DA2A2A"/>
    <w:rsid w:val="00DB0AA8"/>
    <w:rsid w:val="00DB6194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1E20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496A-AFBC-4D97-8427-D2EC22BB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14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104</cp:revision>
  <cp:lastPrinted>2019-01-24T08:54:00Z</cp:lastPrinted>
  <dcterms:created xsi:type="dcterms:W3CDTF">2019-01-18T07:59:00Z</dcterms:created>
  <dcterms:modified xsi:type="dcterms:W3CDTF">2020-07-21T12:36:00Z</dcterms:modified>
</cp:coreProperties>
</file>